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28" w:rsidRPr="00231B09" w:rsidRDefault="00BB0628" w:rsidP="00BB0628">
      <w:pPr>
        <w:pStyle w:val="Bezodstpw"/>
        <w:rPr>
          <w:b/>
          <w:sz w:val="28"/>
        </w:rPr>
      </w:pPr>
    </w:p>
    <w:p w:rsidR="00F51A0A" w:rsidRPr="00231B09" w:rsidRDefault="00F51A0A" w:rsidP="00BB0628">
      <w:pPr>
        <w:pStyle w:val="Bezodstpw"/>
        <w:rPr>
          <w:b/>
        </w:rPr>
      </w:pPr>
      <w:r w:rsidRPr="00231B09">
        <w:rPr>
          <w:b/>
          <w:sz w:val="28"/>
        </w:rPr>
        <w:t>KRYTERIA WYBORU OPERACJI DLA PRZEDSIĘWZIĘCIA 1.1.1 AKTYWNOŚĆ</w:t>
      </w:r>
      <w:r w:rsidR="00BB0628" w:rsidRPr="00231B09">
        <w:rPr>
          <w:b/>
          <w:sz w:val="28"/>
        </w:rPr>
        <w:t xml:space="preserve"> </w:t>
      </w:r>
      <w:r w:rsidRPr="00231B09">
        <w:rPr>
          <w:b/>
          <w:sz w:val="28"/>
        </w:rPr>
        <w:t>GOSPODARCZA MIESZKAŃCÓW.</w:t>
      </w:r>
      <w:r w:rsidR="00BB0628" w:rsidRPr="00231B09">
        <w:rPr>
          <w:b/>
        </w:rPr>
        <w:br/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,Bold" w:hAnsi="Times New Roman,Bold" w:cs="Times New Roman,Bold"/>
          <w:b/>
          <w:bCs/>
          <w:color w:val="000000"/>
        </w:rPr>
        <w:t>Operacja dotyczy podejmowania działalności przez osobę z grupy defaworyzowanej w dostępie do rynku pracy.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Tak – 2 pkt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Nie – 0 pkt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Źródło weryfikacji: informacje zawarte we wniosku na temat beneficjenta, poświadczane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przez wnioskodawcę podpisem.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Opis: Kryterium odnosi się bezpośrednio do problemu opisanego w diagnozie i konieczności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jego rozwiązywania poprzez wsparcie udzielane osobom z grup defaworyzowanych. Opis ww.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grup znajduje się w rozdziale III LSR. Ze względu na znaczenie kryterium dla realizacji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założeń LSR waga kryterium w stosunku do podstawowej punktacji (1 pkt) została</w:t>
      </w:r>
    </w:p>
    <w:p w:rsidR="00231B09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zwiększona o 100%.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 w:rsidRPr="00F51A0A">
        <w:rPr>
          <w:rFonts w:ascii="Times New Roman,Bold" w:hAnsi="Times New Roman,Bold" w:cs="Times New Roman,Bold"/>
          <w:b/>
          <w:bCs/>
          <w:color w:val="000000"/>
        </w:rPr>
        <w:t xml:space="preserve">2. Operacja dotyczy </w:t>
      </w:r>
      <w:r>
        <w:rPr>
          <w:rFonts w:ascii="Times New Roman,Bold" w:hAnsi="Times New Roman,Bold" w:cs="Times New Roman,Bold"/>
          <w:b/>
          <w:bCs/>
          <w:color w:val="000000"/>
        </w:rPr>
        <w:t>działalności, której podstawą będą lokalne produkty rolne.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Tak – 1 pkt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Nie – 0 pkt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Źródło weryfikacji: informacje zawarte w części opisowej wniosku i biznes planie,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poświadczane przez wnioskodawcę podpisem.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Opis: Kryterium jest jednym z kryteriów obligatoryjnych wynikających z ustawy o RLKS.</w:t>
      </w:r>
    </w:p>
    <w:p w:rsidR="00F51A0A" w:rsidRP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Operacja dotyczy rozpoczynania działalności w ramach branży turystycznej  oraz branż </w:t>
      </w:r>
      <w:r w:rsidRPr="00F51A0A">
        <w:rPr>
          <w:rFonts w:ascii="Times New Roman,Bold" w:hAnsi="Times New Roman,Bold" w:cs="Times New Roman,Bold"/>
          <w:b/>
          <w:bCs/>
          <w:color w:val="000000"/>
        </w:rPr>
        <w:t>zintegrowanych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Tak – 2 pkt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Nie – 0 pkt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Źródło weryfikacji: informacje zawarte w części opisowej wniosku i biznes planie,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poświadczane przez wnioskodawcę podpisem.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Opis: kryterium preferuje branże związane z turystyką, określone w diagnozie jako kluczowe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dla rozwoju obszaru. Jego zastosowanie pozwoli na osiągnięcie założonych celów LSR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związanych z rozwojem turystycznym, stąd waga kryterium w stosunku do podstawowej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punktacji (1 pkt) jest zwiększona o 100%. Uzyskanie punktu w ramach kryterium 3 wyklucza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możliwość uzyskania punktu w ramach kryterium 4.</w:t>
      </w:r>
    </w:p>
    <w:p w:rsidR="00F51A0A" w:rsidRP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 w:rsidRPr="00231B09">
        <w:rPr>
          <w:rFonts w:ascii="Times New Roman,Bold" w:hAnsi="Times New Roman,Bold" w:cs="Times New Roman,Bold"/>
          <w:b/>
          <w:bCs/>
          <w:color w:val="000000"/>
        </w:rPr>
        <w:t xml:space="preserve">4.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Operacja dotyczy rozpoczynania działalności gospodarczej w ramach pozostałych branż </w:t>
      </w:r>
      <w:r w:rsidRPr="00231B09">
        <w:rPr>
          <w:rFonts w:ascii="Times New Roman,Bold" w:hAnsi="Times New Roman,Bold" w:cs="Times New Roman,Bold"/>
          <w:b/>
          <w:bCs/>
          <w:color w:val="000000"/>
        </w:rPr>
        <w:t>kluczowych dla obszaru.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Tak – 2 pkt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Nie – 0 pkt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Źródło weryfikacji: informacje zawarte w części opisowej wniosku i biznes planie )</w:t>
      </w:r>
      <w:r w:rsidR="00231B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kod PKD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odpowiadający działalności w ramach branż kluczowych), poświadczane przez wnioskodawcę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podpisem.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Opis: kryterium preferuje branże określone w diagnozie jako kluczowe dla rozwoju obszaru.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Jego zastosowanie pozwoli na osiągnięcie założonych celów LSR związanych z rozwojem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branż kluczowych, stąd waga kryterium w stosunku do podstawowej punktacji (1 pkt) jest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zwiększona o 100%.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Operacja ma charakter innowacyjny.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Tak – 1 pkt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Nie – 0 pkt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Źródło weryfikacji: informacje zawarte w części opisowej wniosku i biznes planie,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poświadczane przez wnioskodawcę podpisem.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Opis: kryterium odnosi się do celu przekrojowego PROW a jego zastosowanie znajduje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uzasadnienie w diagnozie obszaru. Przy ocenie kryterium badana będzie zgodność operacji z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definicją innowacyjności przyjętej na potrzeby realizacji LSR.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</w:t>
      </w:r>
      <w:r>
        <w:rPr>
          <w:rFonts w:ascii="Times New Roman,Bold" w:hAnsi="Times New Roman,Bold" w:cs="Times New Roman,Bold"/>
          <w:b/>
          <w:bCs/>
          <w:color w:val="000000"/>
        </w:rPr>
        <w:t>Aktywność wnioskodawcy – udział w szkoleniach realizowanych przez LGD.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Tak – 1 pkt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Nie – 0 pkt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Źródło weryfikacji: informacje własne LGD, listy obecności.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Opis: kryterium odnosi się do założeń LGD w zakresie przygotowania wnioskodawców do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ubiegania się o pomoc. W ramach działań aktywizacyjnych LGD planuje szkolenie dla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potencjalnych wnioskodawców działania, podczas którego uzyskają podstawową wiedzę na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temat prowadzenia własnej działalności gospodarczej.</w:t>
      </w:r>
      <w:r>
        <w:rPr>
          <w:rFonts w:ascii="Times New Roman" w:hAnsi="Times New Roman" w:cs="Times New Roman"/>
          <w:color w:val="000000"/>
        </w:rPr>
        <w:br/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7</w:t>
      </w:r>
      <w:r w:rsidRPr="001B6D14">
        <w:rPr>
          <w:rFonts w:ascii="Times New Roman,Bold" w:hAnsi="Times New Roman,Bold" w:cs="Times New Roman,Bold"/>
          <w:b/>
          <w:bCs/>
          <w:color w:val="000000"/>
        </w:rPr>
        <w:t>. Operacja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zakłada realizację wskaźników </w:t>
      </w:r>
      <w:r>
        <w:rPr>
          <w:rFonts w:ascii="Times New Roman" w:hAnsi="Times New Roman" w:cs="Times New Roman"/>
          <w:b/>
          <w:bCs/>
          <w:color w:val="000000"/>
        </w:rPr>
        <w:t>produktu i rezultatu zapisanych w LSR dla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przedsięwzięcia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Tak – 1 pkt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Nie – 0 pkt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Źródło weryfikacji: informacje zawarte w części opisowej wniosku, poświadczane przez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wnioskodawcę podpisem.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Opis: kryterium odnosi się do założeń związanych z realizacją LSR w zakresie osiągnięcia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oczekiwanych produktów i rezultatów. Punkt jest przyznawany w przypadku zgodności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zapisanych we wniosku informacji na temat planowanych produktów i rezultatów z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określonymi dla przedsięwzięcia w LSR.</w:t>
      </w:r>
    </w:p>
    <w:p w:rsidR="00F51A0A" w:rsidRDefault="001B6D14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/>
      </w:r>
      <w:r w:rsidR="00F51A0A">
        <w:rPr>
          <w:rFonts w:ascii="Times New Roman" w:hAnsi="Times New Roman" w:cs="Times New Roman"/>
          <w:b/>
          <w:bCs/>
          <w:color w:val="000000"/>
        </w:rPr>
        <w:t>8. Operacja jest racjonalna.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Tak – 1 pkt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Nie – 0 pkt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Źródło weryfikacji: informacje zawarte w części opisowej wniosku, poświadczane przez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wnioskodawcę podpisem.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Opis: kryterium pozwoli na ocenę operacji pod kątem racjonalności zaplanowanych kosztów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stosunku do oczekiwanych efektów realizacji LSR. Punkt zostanie przyznany operacjom,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których planowane koszty są adekwatne do zakładanych efektów realizacji operacji</w:t>
      </w:r>
    </w:p>
    <w:p w:rsid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(racjonalność kosztów).</w:t>
      </w:r>
    </w:p>
    <w:p w:rsidR="00A9297B" w:rsidRPr="00F51A0A" w:rsidRDefault="00F51A0A" w:rsidP="00F5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Minimalna liczba punktów, której uzyskanie jest warunkiem wyboru operacji:</w:t>
      </w:r>
      <w:r>
        <w:rPr>
          <w:rFonts w:ascii="Times New Roman,Bold" w:hAnsi="Times New Roman,Bold" w:cs="Times New Roman,Bold"/>
          <w:b/>
          <w:bCs/>
          <w:color w:val="000000"/>
        </w:rPr>
        <w:br/>
        <w:t xml:space="preserve"> </w:t>
      </w:r>
      <w:r w:rsidRPr="00F51A0A">
        <w:rPr>
          <w:rFonts w:ascii="Times New Roman,Bold" w:hAnsi="Times New Roman,Bold" w:cs="Times New Roman,Bold"/>
          <w:b/>
          <w:bCs/>
          <w:color w:val="000000"/>
        </w:rPr>
        <w:t>5 (w tym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obligatoryjnie uzyskanie punktu za kryterium dotyczące realizacji wskaźników produktu i </w:t>
      </w:r>
      <w:r w:rsidRPr="00F51A0A">
        <w:rPr>
          <w:rFonts w:ascii="Times New Roman,Bold" w:hAnsi="Times New Roman,Bold" w:cs="Times New Roman,Bold"/>
          <w:b/>
          <w:bCs/>
          <w:color w:val="000000"/>
        </w:rPr>
        <w:t>rezultatu zapisan</w:t>
      </w:r>
      <w:r>
        <w:rPr>
          <w:rFonts w:ascii="Times New Roman,Bold" w:hAnsi="Times New Roman,Bold" w:cs="Times New Roman,Bold"/>
          <w:b/>
          <w:bCs/>
          <w:color w:val="000000"/>
        </w:rPr>
        <w:t>ych w LSR dla przedsięwzięcia)</w:t>
      </w:r>
      <w:r w:rsidRPr="00F51A0A">
        <w:rPr>
          <w:rFonts w:ascii="Times New Roman,Bold" w:hAnsi="Times New Roman,Bold" w:cs="Times New Roman,Bold"/>
          <w:b/>
          <w:bCs/>
          <w:color w:val="000000"/>
        </w:rPr>
        <w:t>.</w:t>
      </w:r>
    </w:p>
    <w:p w:rsidR="00F51A0A" w:rsidRDefault="00F51A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231B09" w:rsidRPr="00CD05D6" w:rsidRDefault="001B6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70C0"/>
        </w:rPr>
      </w:pPr>
      <w:r w:rsidRPr="00CD05D6">
        <w:rPr>
          <w:rFonts w:ascii="Times New Roman" w:hAnsi="Times New Roman" w:cs="Times New Roman"/>
          <w:b/>
          <w:i/>
          <w:color w:val="0070C0"/>
          <w:sz w:val="24"/>
        </w:rPr>
        <w:t>Dodatkowe wyjaśnienie</w:t>
      </w:r>
      <w:r w:rsidR="00231B09" w:rsidRPr="00CD05D6">
        <w:rPr>
          <w:rFonts w:ascii="Times New Roman" w:hAnsi="Times New Roman" w:cs="Times New Roman"/>
          <w:b/>
          <w:i/>
          <w:color w:val="0070C0"/>
          <w:sz w:val="24"/>
        </w:rPr>
        <w:t xml:space="preserve"> do kryteriów:</w:t>
      </w:r>
    </w:p>
    <w:p w:rsidR="00231B09" w:rsidRPr="00231B09" w:rsidRDefault="004B6E03" w:rsidP="0023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  <w:u w:val="single"/>
        </w:rPr>
        <w:br/>
      </w:r>
      <w:r w:rsidR="00231B09" w:rsidRPr="004B6E03">
        <w:rPr>
          <w:rFonts w:ascii="Times New Roman" w:hAnsi="Times New Roman" w:cs="Times New Roman"/>
          <w:b/>
          <w:i/>
          <w:color w:val="0070C0"/>
          <w:u w:val="single"/>
        </w:rPr>
        <w:t>Wyjaśnienie do kryterium nr 1</w:t>
      </w:r>
      <w:r w:rsidR="00231B09">
        <w:rPr>
          <w:rFonts w:ascii="Times New Roman" w:hAnsi="Times New Roman" w:cs="Times New Roman"/>
          <w:i/>
          <w:color w:val="0070C0"/>
        </w:rPr>
        <w:br/>
      </w:r>
      <w:r w:rsidR="00231B09">
        <w:rPr>
          <w:rFonts w:ascii="Times New Roman" w:hAnsi="Times New Roman" w:cs="Times New Roman"/>
          <w:i/>
          <w:color w:val="0070C0"/>
        </w:rPr>
        <w:t>D</w:t>
      </w:r>
      <w:r w:rsidR="00231B09" w:rsidRPr="00231B09">
        <w:rPr>
          <w:rFonts w:ascii="Times New Roman" w:hAnsi="Times New Roman" w:cs="Times New Roman"/>
          <w:i/>
          <w:color w:val="0070C0"/>
        </w:rPr>
        <w:t xml:space="preserve">o grupy defaworyzowanej zaliczamy osoby w wieku od 18 do 34 lat oraz bezrobotnych  mieszkańców obszarów wiejskich. W praktyce oznacza to, że każdy wnioskodawca w wieku do 34 lat bez względu na status na ryku pracy spełnia definicję grupy defaworyzowanej. Natomiast </w:t>
      </w:r>
      <w:r w:rsidR="00231B09">
        <w:rPr>
          <w:rFonts w:ascii="Times New Roman" w:hAnsi="Times New Roman" w:cs="Times New Roman"/>
          <w:i/>
          <w:color w:val="0070C0"/>
        </w:rPr>
        <w:t>wnioskodawcy,</w:t>
      </w:r>
      <w:r w:rsidR="00231B09" w:rsidRPr="00231B09">
        <w:rPr>
          <w:rFonts w:ascii="Times New Roman" w:hAnsi="Times New Roman" w:cs="Times New Roman"/>
          <w:i/>
          <w:color w:val="0070C0"/>
        </w:rPr>
        <w:t xml:space="preserve"> którzy ukończyli 34 rok życia</w:t>
      </w:r>
      <w:r w:rsidR="00231B09">
        <w:rPr>
          <w:rFonts w:ascii="Times New Roman" w:hAnsi="Times New Roman" w:cs="Times New Roman"/>
          <w:i/>
          <w:color w:val="0070C0"/>
        </w:rPr>
        <w:t xml:space="preserve"> muszą być osobami bezrobotnymi aby zaliczyć ich do grupy defaworyzowanej.</w:t>
      </w:r>
    </w:p>
    <w:p w:rsidR="00221679" w:rsidRDefault="004B6E03" w:rsidP="00221679">
      <w:pPr>
        <w:pStyle w:val="Default"/>
      </w:pPr>
      <w:r>
        <w:rPr>
          <w:b/>
          <w:i/>
          <w:color w:val="0070C0"/>
          <w:sz w:val="22"/>
          <w:szCs w:val="22"/>
          <w:u w:val="single"/>
        </w:rPr>
        <w:br/>
      </w:r>
      <w:r w:rsidR="00231B09" w:rsidRPr="004B6E03">
        <w:rPr>
          <w:b/>
          <w:i/>
          <w:color w:val="0070C0"/>
          <w:sz w:val="22"/>
          <w:szCs w:val="22"/>
          <w:u w:val="single"/>
        </w:rPr>
        <w:t>Wyjaśnienie do kryterium nr 3</w:t>
      </w:r>
      <w:r w:rsidR="00231B09">
        <w:rPr>
          <w:b/>
          <w:i/>
          <w:color w:val="0070C0"/>
        </w:rPr>
        <w:br/>
      </w:r>
      <w:r w:rsidR="001B6D14" w:rsidRPr="00221679">
        <w:rPr>
          <w:i/>
          <w:color w:val="0070C0"/>
          <w:sz w:val="22"/>
          <w:szCs w:val="22"/>
        </w:rPr>
        <w:t>Branże zintegrowane z turystyką zostały zidentyfikowane w Lokalnej Strategii Rozwoju obszaru LGD Sandry Brdy i należą do nich następujące działalności gospodarcze oznaczone odpowiednim kodem PKD</w:t>
      </w:r>
      <w:r w:rsidR="00CD05D6">
        <w:rPr>
          <w:i/>
          <w:color w:val="0070C0"/>
          <w:sz w:val="22"/>
          <w:szCs w:val="22"/>
        </w:rPr>
        <w:t>.</w:t>
      </w:r>
      <w:r w:rsidR="001B6D14">
        <w:rPr>
          <w:i/>
          <w:color w:val="0070C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85"/>
        <w:gridCol w:w="1276"/>
        <w:gridCol w:w="3685"/>
      </w:tblGrid>
      <w:tr w:rsidR="00221679" w:rsidTr="009370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01" w:type="dxa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sekcja PKD</w:t>
            </w:r>
          </w:p>
        </w:tc>
        <w:tc>
          <w:tcPr>
            <w:tcW w:w="3685" w:type="dxa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Dział</w:t>
            </w:r>
          </w:p>
        </w:tc>
        <w:tc>
          <w:tcPr>
            <w:tcW w:w="1276" w:type="dxa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Grupy</w:t>
            </w:r>
          </w:p>
        </w:tc>
        <w:tc>
          <w:tcPr>
            <w:tcW w:w="3685" w:type="dxa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Zakres</w:t>
            </w:r>
          </w:p>
        </w:tc>
      </w:tr>
      <w:tr w:rsidR="00221679" w:rsidTr="0093702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101" w:type="dxa"/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A</w:t>
            </w:r>
          </w:p>
        </w:tc>
        <w:tc>
          <w:tcPr>
            <w:tcW w:w="3685" w:type="dxa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01 - Uprawy rolne, chów i hodowla zwierząt, łowiectwo, włączając działalność usługową </w:t>
            </w:r>
          </w:p>
        </w:tc>
        <w:tc>
          <w:tcPr>
            <w:tcW w:w="1276" w:type="dxa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- </w:t>
            </w:r>
          </w:p>
        </w:tc>
        <w:tc>
          <w:tcPr>
            <w:tcW w:w="3685" w:type="dxa"/>
            <w:vMerge w:val="restart"/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W zakresie dopuszczonym PROW 2014-2020 dla RLKS; produkty lokalne, wzbogacanie lokalnej oferty</w:t>
            </w:r>
          </w:p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</w:p>
        </w:tc>
      </w:tr>
      <w:tr w:rsidR="00221679" w:rsidTr="0093702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01" w:type="dxa"/>
            <w:vMerge w:val="restart"/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C</w:t>
            </w: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*</w:t>
            </w:r>
          </w:p>
        </w:tc>
        <w:tc>
          <w:tcPr>
            <w:tcW w:w="3685" w:type="dxa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10 - Produkcja artykułów spożywczych </w:t>
            </w:r>
          </w:p>
        </w:tc>
        <w:tc>
          <w:tcPr>
            <w:tcW w:w="1276" w:type="dxa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 10.1-10.8 </w:t>
            </w:r>
          </w:p>
        </w:tc>
        <w:tc>
          <w:tcPr>
            <w:tcW w:w="3685" w:type="dxa"/>
            <w:vMerge/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</w:p>
        </w:tc>
      </w:tr>
      <w:tr w:rsidR="00221679" w:rsidTr="0093702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101" w:type="dxa"/>
            <w:vMerge/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</w:p>
        </w:tc>
        <w:tc>
          <w:tcPr>
            <w:tcW w:w="3685" w:type="dxa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11 - Produkcja napojów </w:t>
            </w:r>
          </w:p>
        </w:tc>
        <w:tc>
          <w:tcPr>
            <w:tcW w:w="1276" w:type="dxa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- </w:t>
            </w:r>
          </w:p>
        </w:tc>
        <w:tc>
          <w:tcPr>
            <w:tcW w:w="3685" w:type="dxa"/>
            <w:vMerge/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</w:p>
        </w:tc>
      </w:tr>
      <w:tr w:rsidR="00221679" w:rsidTr="0093702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47  - Handel detaliczny, z wyłączeniem handlu detalicznego pojazdami samochodowymi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47.1, 47.2, 47.6, 47.8, 47.9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Sprzedaż detaliczna skierowana na obsługę ruchu turystycznego, obejmująca m.in. pamiątki, żywność, lokalne wyroby rzemieślnicze</w:t>
            </w:r>
          </w:p>
        </w:tc>
      </w:tr>
      <w:tr w:rsidR="00221679" w:rsidTr="0093702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I</w:t>
            </w:r>
          </w:p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55  - Zakwaterowanie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55.1, 55.2, 55.3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W całym zakresie określonym w charakterystyce poszczególnych grup z ukierunkowaniem na obsługę ruchu turystycznego</w:t>
            </w:r>
          </w:p>
        </w:tc>
      </w:tr>
      <w:tr w:rsidR="00221679" w:rsidTr="0093702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56  - Działalność usługowa związana z wyżywieniem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56.1, 56.2, 56.3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</w:p>
        </w:tc>
      </w:tr>
      <w:tr w:rsidR="00221679" w:rsidTr="0093702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J</w:t>
            </w:r>
          </w:p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58  -Działalność wydawnicza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58.1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br/>
            </w: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br/>
              <w:t>W zakresie promocji obszaru</w:t>
            </w:r>
          </w:p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</w:p>
        </w:tc>
      </w:tr>
      <w:tr w:rsidR="00221679" w:rsidTr="0093702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59  -Działalność związana z produkcją filmów, nagrań wideo, programów telewizyjnych, nagrań dźwiękowych i muzycznych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59.1, 59.2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</w:p>
        </w:tc>
      </w:tr>
      <w:tr w:rsidR="00221679" w:rsidTr="0093702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R</w:t>
            </w:r>
          </w:p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90  - Działalność twórcza związana z kulturą i rozrywką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90.0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W zakresie działań wpływających na wzbogacenie oferty turystycznej</w:t>
            </w:r>
          </w:p>
        </w:tc>
      </w:tr>
      <w:tr w:rsidR="00221679" w:rsidTr="0093702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91  - Działalność bibliotek, archiwów, muzeów oraz pozostała działalność związana z kulturą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91.0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Ukierunkowanie na obsługę ruchu turystycznego, wzbogacanie oferty</w:t>
            </w:r>
          </w:p>
        </w:tc>
      </w:tr>
      <w:tr w:rsidR="00221679" w:rsidTr="0093702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93  - Działalność sportowa, rozrywkowa i rekreacyjna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93.1, 93.2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9" w:rsidRPr="004B6E03" w:rsidRDefault="00221679" w:rsidP="004B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4B6E03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Ukierunkowanie na obsługę ruchu turystycznego, wzbogacanie oferty, miejsca tematyczne (np. pokazowe gospodarstwa)</w:t>
            </w:r>
          </w:p>
        </w:tc>
      </w:tr>
    </w:tbl>
    <w:p w:rsidR="001B6D14" w:rsidRPr="00B84282" w:rsidRDefault="00221679" w:rsidP="00221679">
      <w:pPr>
        <w:pStyle w:val="Default"/>
        <w:rPr>
          <w:i/>
          <w:color w:val="FF0000"/>
          <w:sz w:val="20"/>
          <w:szCs w:val="22"/>
        </w:rPr>
      </w:pPr>
      <w:r w:rsidRPr="00B84282">
        <w:rPr>
          <w:i/>
          <w:color w:val="FF0000"/>
          <w:sz w:val="20"/>
          <w:szCs w:val="22"/>
        </w:rPr>
        <w:t>*</w:t>
      </w:r>
      <w:r w:rsidR="008D11A3" w:rsidRPr="00B84282">
        <w:rPr>
          <w:i/>
          <w:color w:val="FF0000"/>
          <w:sz w:val="20"/>
          <w:szCs w:val="22"/>
        </w:rPr>
        <w:t xml:space="preserve"> Działalności gospodarcze związane z produkcją artykułów spożywczych (PKD dział 10)  </w:t>
      </w:r>
      <w:r w:rsidR="008D11A3" w:rsidRPr="00B84282">
        <w:rPr>
          <w:i/>
          <w:color w:val="FF0000"/>
          <w:sz w:val="16"/>
          <w:szCs w:val="22"/>
        </w:rPr>
        <w:br/>
      </w:r>
      <w:r w:rsidR="008D11A3" w:rsidRPr="00B84282">
        <w:rPr>
          <w:i/>
          <w:color w:val="FF0000"/>
          <w:sz w:val="20"/>
          <w:szCs w:val="22"/>
        </w:rPr>
        <w:t>i produkcją napojów (PKD dział 11)  mogą być wyjątkowo realizowane przez  osoby (rolników) podlegających ubezpieczeniu w KRUS w pełnym zakresie.</w:t>
      </w:r>
    </w:p>
    <w:p w:rsidR="00EE71E4" w:rsidRDefault="00EE71E4" w:rsidP="001B6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70C0"/>
        </w:rPr>
      </w:pPr>
    </w:p>
    <w:p w:rsidR="004B6E03" w:rsidRDefault="004B6E03" w:rsidP="001B6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70C0"/>
        </w:rPr>
      </w:pPr>
    </w:p>
    <w:p w:rsidR="00B61B4E" w:rsidRPr="004B6E03" w:rsidRDefault="001B6D14" w:rsidP="00B61B4E">
      <w:pPr>
        <w:spacing w:after="0" w:line="240" w:lineRule="auto"/>
        <w:rPr>
          <w:rFonts w:ascii="Times New Roman" w:hAnsi="Times New Roman" w:cs="Times New Roman"/>
          <w:b/>
          <w:i/>
          <w:color w:val="0070C0"/>
          <w:u w:val="single"/>
        </w:rPr>
      </w:pPr>
      <w:r w:rsidRPr="004B6E03">
        <w:rPr>
          <w:rFonts w:ascii="Times New Roman" w:hAnsi="Times New Roman" w:cs="Times New Roman"/>
          <w:b/>
          <w:i/>
          <w:color w:val="0070C0"/>
          <w:u w:val="single"/>
        </w:rPr>
        <w:t>Wyjaśnienie do kryterium nr 4</w:t>
      </w:r>
    </w:p>
    <w:p w:rsidR="004B6E03" w:rsidRPr="004B6E03" w:rsidRDefault="00B61B4E" w:rsidP="004B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0"/>
        </w:rPr>
      </w:pPr>
      <w:r w:rsidRPr="004B6E03">
        <w:rPr>
          <w:rFonts w:ascii="Times New Roman" w:hAnsi="Times New Roman" w:cs="Times New Roman"/>
          <w:i/>
          <w:color w:val="0070C0"/>
        </w:rPr>
        <w:t>Wspierane sektory</w:t>
      </w:r>
      <w:r w:rsidR="004B6E03">
        <w:rPr>
          <w:rFonts w:ascii="Times New Roman" w:hAnsi="Times New Roman" w:cs="Times New Roman"/>
          <w:i/>
          <w:color w:val="0070C0"/>
        </w:rPr>
        <w:t xml:space="preserve"> zgodnie z Lokalna Strategią Rozwoju Obszaru LGD Sandry Brdy</w:t>
      </w:r>
      <w:r w:rsidRPr="004B6E03">
        <w:rPr>
          <w:rFonts w:ascii="Times New Roman" w:hAnsi="Times New Roman" w:cs="Times New Roman"/>
          <w:i/>
          <w:color w:val="0070C0"/>
        </w:rPr>
        <w:t>:</w:t>
      </w:r>
    </w:p>
    <w:p w:rsidR="004B6E03" w:rsidRDefault="00B61B4E" w:rsidP="004B6E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0"/>
        </w:rPr>
      </w:pPr>
      <w:r w:rsidRPr="004B6E03">
        <w:rPr>
          <w:rFonts w:ascii="Times New Roman" w:hAnsi="Times New Roman" w:cs="Times New Roman"/>
          <w:i/>
          <w:color w:val="0070C0"/>
        </w:rPr>
        <w:t>„Srebrna gospodarka”</w:t>
      </w:r>
      <w:r w:rsidR="004B6E03">
        <w:rPr>
          <w:rFonts w:ascii="Times New Roman" w:hAnsi="Times New Roman" w:cs="Times New Roman"/>
          <w:i/>
          <w:color w:val="0070C0"/>
        </w:rPr>
        <w:t>.</w:t>
      </w:r>
    </w:p>
    <w:p w:rsidR="004B6E03" w:rsidRDefault="00B61B4E" w:rsidP="004B6E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0"/>
        </w:rPr>
      </w:pPr>
      <w:r w:rsidRPr="004B6E03">
        <w:rPr>
          <w:rFonts w:ascii="Times New Roman" w:hAnsi="Times New Roman" w:cs="Times New Roman"/>
          <w:i/>
          <w:color w:val="0070C0"/>
        </w:rPr>
        <w:t>Przetwórstwo spożywcze, w tym przetwórstwo runa leśnego.</w:t>
      </w:r>
    </w:p>
    <w:p w:rsidR="004B6E03" w:rsidRDefault="00B61B4E" w:rsidP="004B6E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0"/>
        </w:rPr>
      </w:pPr>
      <w:r w:rsidRPr="004B6E03">
        <w:rPr>
          <w:rFonts w:ascii="Times New Roman" w:hAnsi="Times New Roman" w:cs="Times New Roman"/>
          <w:i/>
          <w:color w:val="0070C0"/>
        </w:rPr>
        <w:t>Odnawialne źródła energii.</w:t>
      </w:r>
      <w:bookmarkStart w:id="0" w:name="_GoBack"/>
    </w:p>
    <w:p w:rsidR="004B6E03" w:rsidRDefault="00B61B4E" w:rsidP="004B6E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0"/>
        </w:rPr>
      </w:pPr>
      <w:r w:rsidRPr="004B6E03">
        <w:rPr>
          <w:rFonts w:ascii="Times New Roman" w:hAnsi="Times New Roman" w:cs="Times New Roman"/>
          <w:i/>
          <w:color w:val="0070C0"/>
        </w:rPr>
        <w:t xml:space="preserve">Działania innowacyjne dla </w:t>
      </w:r>
      <w:bookmarkEnd w:id="0"/>
      <w:r w:rsidRPr="004B6E03">
        <w:rPr>
          <w:rFonts w:ascii="Times New Roman" w:hAnsi="Times New Roman" w:cs="Times New Roman"/>
          <w:i/>
          <w:color w:val="0070C0"/>
        </w:rPr>
        <w:t>całego obszaru.</w:t>
      </w:r>
    </w:p>
    <w:p w:rsidR="00CD05D6" w:rsidRPr="004B6E03" w:rsidRDefault="00B61B4E" w:rsidP="001B6D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0"/>
        </w:rPr>
      </w:pPr>
      <w:r w:rsidRPr="004B6E03">
        <w:rPr>
          <w:rFonts w:ascii="Times New Roman" w:hAnsi="Times New Roman" w:cs="Times New Roman"/>
          <w:i/>
          <w:color w:val="0070C0"/>
        </w:rPr>
        <w:t>Ekonomia społeczna.</w:t>
      </w:r>
    </w:p>
    <w:p w:rsidR="001B6D14" w:rsidRPr="001B6D14" w:rsidRDefault="001B6D14" w:rsidP="001B6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</w:rPr>
        <w:br/>
      </w:r>
      <w:r w:rsidRPr="004B6E03">
        <w:rPr>
          <w:rFonts w:ascii="Times New Roman" w:hAnsi="Times New Roman" w:cs="Times New Roman"/>
          <w:b/>
          <w:i/>
          <w:color w:val="0070C0"/>
          <w:u w:val="single"/>
        </w:rPr>
        <w:t>Wyjaśnienie do kryterium nr 5</w:t>
      </w:r>
      <w:r w:rsidR="00EE71E4">
        <w:rPr>
          <w:rFonts w:ascii="Times New Roman" w:hAnsi="Times New Roman" w:cs="Times New Roman"/>
          <w:b/>
          <w:i/>
          <w:color w:val="0070C0"/>
        </w:rPr>
        <w:br/>
      </w:r>
      <w:r w:rsidR="00CD05D6" w:rsidRPr="00CD05D6">
        <w:rPr>
          <w:rFonts w:ascii="Times New Roman" w:hAnsi="Times New Roman" w:cs="Times New Roman"/>
          <w:i/>
          <w:color w:val="0070C0"/>
        </w:rPr>
        <w:t>Przez innowacyjność rozumie się wdrożenie nowego na danym obszarze lub znacząco udoskonalonego produktu, usługi, procesu, organizacji lub nowego sposobu wykorzystania lub zmobilizowania istniejących lokalnych zasobów.</w:t>
      </w:r>
    </w:p>
    <w:sectPr w:rsidR="001B6D14" w:rsidRPr="001B6D14" w:rsidSect="00B84282">
      <w:pgSz w:w="11906" w:h="16838"/>
      <w:pgMar w:top="142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707"/>
    <w:multiLevelType w:val="hybridMultilevel"/>
    <w:tmpl w:val="F936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6FE6"/>
    <w:multiLevelType w:val="hybridMultilevel"/>
    <w:tmpl w:val="4784FD2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57268B0"/>
    <w:multiLevelType w:val="hybridMultilevel"/>
    <w:tmpl w:val="D8DE5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F196C"/>
    <w:multiLevelType w:val="hybridMultilevel"/>
    <w:tmpl w:val="DA2EC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0A"/>
    <w:rsid w:val="000E046D"/>
    <w:rsid w:val="00101206"/>
    <w:rsid w:val="001B6D14"/>
    <w:rsid w:val="00221679"/>
    <w:rsid w:val="00231B09"/>
    <w:rsid w:val="0044713E"/>
    <w:rsid w:val="004B6E03"/>
    <w:rsid w:val="007727BF"/>
    <w:rsid w:val="008D11A3"/>
    <w:rsid w:val="00917E89"/>
    <w:rsid w:val="00A9297B"/>
    <w:rsid w:val="00B61B4E"/>
    <w:rsid w:val="00B84282"/>
    <w:rsid w:val="00BB0628"/>
    <w:rsid w:val="00CD05D6"/>
    <w:rsid w:val="00E74BBC"/>
    <w:rsid w:val="00EE71E4"/>
    <w:rsid w:val="00F5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7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27BF"/>
    <w:pPr>
      <w:ind w:left="720"/>
      <w:contextualSpacing/>
    </w:pPr>
  </w:style>
  <w:style w:type="paragraph" w:customStyle="1" w:styleId="Default">
    <w:name w:val="Default"/>
    <w:rsid w:val="00221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7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27BF"/>
    <w:pPr>
      <w:ind w:left="720"/>
      <w:contextualSpacing/>
    </w:pPr>
  </w:style>
  <w:style w:type="paragraph" w:customStyle="1" w:styleId="Default">
    <w:name w:val="Default"/>
    <w:rsid w:val="00221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6637-32CA-48CF-A023-CFC8FDC3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2020-03-20T10:06:00Z</dcterms:created>
  <dcterms:modified xsi:type="dcterms:W3CDTF">2020-03-20T10:06:00Z</dcterms:modified>
</cp:coreProperties>
</file>