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72D4C03A" w:rsidR="00CB405F" w:rsidRDefault="00A30AED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66DF64E8" wp14:editId="232F11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05F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="00CB405F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3D7A7F67" w14:textId="32747C37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560936">
        <w:rPr>
          <w:rFonts w:ascii="Calibri" w:eastAsiaTheme="majorEastAsia" w:hAnsi="Calibri" w:cs="Calibri"/>
          <w:sz w:val="20"/>
          <w:szCs w:val="20"/>
          <w:lang w:eastAsia="en-US"/>
        </w:rPr>
        <w:t xml:space="preserve">ki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337A920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D7B4B8B" w:rsidR="00CB405F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Działania 6.12 Infrastruktura </w:t>
      </w:r>
      <w:r w:rsidR="0056093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turystyki</w:t>
      </w:r>
      <w:r w:rsidR="00E80F29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-</w:t>
      </w:r>
      <w:r w:rsidR="0056093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C0086B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3622A" w:rsidRDefault="00155577" w:rsidP="00E85647">
      <w:pPr>
        <w:pStyle w:val="Nagwek2"/>
        <w:numPr>
          <w:ilvl w:val="0"/>
          <w:numId w:val="9"/>
        </w:numPr>
      </w:pPr>
      <w:r w:rsidRPr="0083622A">
        <w:t>Wydatki kwalifikowalne</w:t>
      </w:r>
    </w:p>
    <w:p w14:paraId="255FA782" w14:textId="7BD0C0C3" w:rsidR="00155577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>
        <w:rPr>
          <w:b/>
          <w:szCs w:val="22"/>
        </w:rPr>
        <w:t>Zasad</w:t>
      </w:r>
      <w:r w:rsidR="00B73D5B">
        <w:rPr>
          <w:b/>
          <w:szCs w:val="22"/>
        </w:rPr>
        <w:t>y</w:t>
      </w:r>
      <w:r>
        <w:rPr>
          <w:b/>
          <w:szCs w:val="22"/>
        </w:rPr>
        <w:t xml:space="preserve"> ogóln</w:t>
      </w:r>
      <w:r w:rsidR="00B73D5B">
        <w:rPr>
          <w:b/>
          <w:szCs w:val="22"/>
        </w:rPr>
        <w:t>e</w:t>
      </w:r>
      <w:r>
        <w:rPr>
          <w:b/>
          <w:szCs w:val="22"/>
        </w:rPr>
        <w:t>:</w:t>
      </w:r>
    </w:p>
    <w:p w14:paraId="61A9F905" w14:textId="3A0B26FC" w:rsidR="00155577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Podrozdziale 2.2 Wytycznych </w:t>
      </w:r>
      <w:r>
        <w:rPr>
          <w:b/>
          <w:szCs w:val="22"/>
        </w:rPr>
        <w:t xml:space="preserve">Ministra Funduszy i Polityki Regionalnej </w:t>
      </w:r>
      <w:r w:rsidRPr="00F66528">
        <w:rPr>
          <w:b/>
          <w:szCs w:val="22"/>
        </w:rPr>
        <w:t>dotyczących kwalifikowalności wydatków na lata 2021-2027</w:t>
      </w:r>
      <w:r>
        <w:rPr>
          <w:b/>
          <w:szCs w:val="22"/>
        </w:rPr>
        <w:t xml:space="preserve"> z uwzględnieniem zasad opisanych poniżej.</w:t>
      </w:r>
    </w:p>
    <w:p w14:paraId="58E35FC5" w14:textId="25DDFAAF" w:rsidR="00B416D3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6B1CDFFC" w14:textId="4CD0CB7C" w:rsidR="00951AEC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>
        <w:rPr>
          <w:b/>
          <w:szCs w:val="22"/>
        </w:rPr>
        <w:t>W</w:t>
      </w:r>
      <w:r w:rsidR="00623CC9">
        <w:rPr>
          <w:b/>
          <w:szCs w:val="22"/>
        </w:rPr>
        <w:t xml:space="preserve"> przypadku projektu dotyczącego infrastruktury kąpielisk, w</w:t>
      </w:r>
      <w:r>
        <w:rPr>
          <w:b/>
          <w:szCs w:val="22"/>
        </w:rPr>
        <w:t xml:space="preserve">ydatek </w:t>
      </w:r>
      <w:r w:rsidRPr="00B73D5B">
        <w:rPr>
          <w:b/>
          <w:color w:val="000000"/>
        </w:rPr>
        <w:t xml:space="preserve">jest kwalifikowalny jeśli jest niezbędny do osiągnięcia celów projektu </w:t>
      </w:r>
      <w:r>
        <w:rPr>
          <w:b/>
          <w:color w:val="000000"/>
        </w:rPr>
        <w:t xml:space="preserve">w zakresie zadań </w:t>
      </w:r>
      <w:r w:rsidRPr="00B416D3">
        <w:rPr>
          <w:b/>
          <w:color w:val="000000"/>
        </w:rPr>
        <w:t>realizowanych w granicach kąpieliska</w:t>
      </w:r>
      <w:r w:rsidRPr="00B416D3">
        <w:rPr>
          <w:rStyle w:val="Odwoanieprzypisudolnego"/>
          <w:rFonts w:ascii="Calibri" w:hAnsi="Calibri" w:cs="Calibri"/>
          <w:color w:val="000000"/>
        </w:rPr>
        <w:footnoteReference w:id="1"/>
      </w:r>
      <w:r w:rsidRPr="00B416D3">
        <w:rPr>
          <w:color w:val="000000"/>
        </w:rPr>
        <w:t>.</w:t>
      </w:r>
    </w:p>
    <w:p w14:paraId="7F722A95" w14:textId="3FDD727F" w:rsidR="00CD5F06" w:rsidRPr="00613631" w:rsidRDefault="00CD5F06" w:rsidP="00CD5F06">
      <w:pPr>
        <w:spacing w:before="240"/>
      </w:pPr>
      <w:r>
        <w:rPr>
          <w:b/>
        </w:rPr>
        <w:t>K</w:t>
      </w:r>
      <w:r w:rsidRPr="00CD5F06">
        <w:rPr>
          <w:b/>
        </w:rPr>
        <w:t>walifikowalne</w:t>
      </w:r>
      <w:r w:rsidRPr="00613631">
        <w:t xml:space="preserve"> </w:t>
      </w:r>
      <w:r w:rsidR="00F218EB">
        <w:rPr>
          <w:b/>
        </w:rPr>
        <w:t>wydatki</w:t>
      </w:r>
      <w:r w:rsidRPr="00CD5F06">
        <w:rPr>
          <w:b/>
        </w:rPr>
        <w:t xml:space="preserve"> bezpośrednie</w:t>
      </w:r>
      <w:r w:rsidRPr="00613631">
        <w:t xml:space="preserve"> </w:t>
      </w:r>
      <w:r w:rsidR="00F218EB">
        <w:t xml:space="preserve">poniesione </w:t>
      </w:r>
      <w:r w:rsidRPr="00613631">
        <w:t xml:space="preserve">w ramach projektu obejmują w szczególności: </w:t>
      </w:r>
    </w:p>
    <w:p w14:paraId="59D88326" w14:textId="50111797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3AC2E5F4" w14:textId="1D61D971" w:rsidR="00387F29" w:rsidRPr="00613631" w:rsidRDefault="00387F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 wytycz</w:t>
      </w:r>
      <w:r w:rsidR="001B18B8">
        <w:t>e</w:t>
      </w:r>
      <w:r>
        <w:t>nia oraz oznakowania szlaków/ tras objętych dofinansowaniem,</w:t>
      </w:r>
    </w:p>
    <w:p w14:paraId="622C2DBB" w14:textId="655DE8B4" w:rsidR="00CD5F06" w:rsidRPr="00A30AED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</w:t>
      </w:r>
      <w:r>
        <w:t>y</w:t>
      </w:r>
      <w:r w:rsidRPr="00613631">
        <w:t xml:space="preserve"> materiałów i robót budowlanych</w:t>
      </w:r>
      <w:r w:rsidR="0043695F">
        <w:t xml:space="preserve">, w tym </w:t>
      </w:r>
      <w:r w:rsidR="003731BC">
        <w:t xml:space="preserve">dotyczących </w:t>
      </w:r>
      <w:r w:rsidR="0043695F">
        <w:t>niezbędn</w:t>
      </w:r>
      <w:r w:rsidR="003731BC">
        <w:t xml:space="preserve">ej </w:t>
      </w:r>
      <w:r w:rsidR="0043695F">
        <w:t>infrastruktur</w:t>
      </w:r>
      <w:r w:rsidR="003731BC">
        <w:t>y</w:t>
      </w:r>
      <w:r w:rsidR="0043695F">
        <w:t>,</w:t>
      </w:r>
      <w:r w:rsidR="00585613">
        <w:t xml:space="preserve"> </w:t>
      </w:r>
      <w:r w:rsidRPr="00613631">
        <w:t xml:space="preserve">związanych </w:t>
      </w:r>
      <w:r w:rsidRPr="00A30AED">
        <w:t>bezpośrednio z zakresem wsparcia na wdrażanie LSR, któr</w:t>
      </w:r>
      <w:r w:rsidR="003B4D29" w:rsidRPr="00A30AED">
        <w:t>ego</w:t>
      </w:r>
      <w:r w:rsidRPr="00A30AED">
        <w:t xml:space="preserve"> dotyczy nabór wniosków, </w:t>
      </w:r>
    </w:p>
    <w:p w14:paraId="183C3FC1" w14:textId="44A476B4" w:rsidR="00585613" w:rsidRPr="004F63CC" w:rsidRDefault="00585613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zagospodarowania terenu, w tym m.in. element</w:t>
      </w:r>
      <w:r w:rsidR="00241EB1">
        <w:t>ów</w:t>
      </w:r>
      <w:r>
        <w:t xml:space="preserve"> małej architektury</w:t>
      </w:r>
      <w:r w:rsidR="0043695F">
        <w:t xml:space="preserve">, oznakowania, </w:t>
      </w:r>
      <w:r w:rsidR="00241EB1" w:rsidRPr="00E80F29">
        <w:t>tablic informacyjnych</w:t>
      </w:r>
      <w:r w:rsidR="005D333C">
        <w:t xml:space="preserve">/ </w:t>
      </w:r>
      <w:r w:rsidR="0043695F" w:rsidRPr="00E80F29">
        <w:t>regulaminów</w:t>
      </w:r>
      <w:r w:rsidR="005D333C">
        <w:t xml:space="preserve"> </w:t>
      </w:r>
      <w:r w:rsidR="005D333C" w:rsidRPr="004F63CC">
        <w:t>korzystania</w:t>
      </w:r>
      <w:r w:rsidR="00241EB1" w:rsidRPr="004F63CC">
        <w:t>,</w:t>
      </w:r>
      <w:r w:rsidR="0043695F" w:rsidRPr="004F63CC">
        <w:t xml:space="preserve">  </w:t>
      </w:r>
      <w:r w:rsidRPr="004F63CC">
        <w:t xml:space="preserve"> </w:t>
      </w:r>
    </w:p>
    <w:p w14:paraId="1F038234" w14:textId="7439470D" w:rsidR="003B4D29" w:rsidRPr="00B416D3" w:rsidRDefault="003B4D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B416D3">
        <w:t xml:space="preserve">koszty </w:t>
      </w:r>
      <w:r w:rsidR="001B13B7">
        <w:t xml:space="preserve">budowy </w:t>
      </w:r>
      <w:r w:rsidR="00C90FBD">
        <w:t xml:space="preserve">nowych dróg i parkingów </w:t>
      </w:r>
      <w:r w:rsidRPr="00B416D3">
        <w:t>stanowiąc</w:t>
      </w:r>
      <w:r w:rsidR="00C90FBD">
        <w:t xml:space="preserve">ych </w:t>
      </w:r>
      <w:r w:rsidRPr="00B416D3">
        <w:t xml:space="preserve">niezbędne miejsca postojowe użytkowane tylko przez osoby z niepełnosprawnościami albo wjazdy w obrębie kąpieliska dla osób z niepełnosprawnościami, </w:t>
      </w:r>
      <w:r w:rsidR="00B416D3" w:rsidRPr="00B416D3">
        <w:t>będąc</w:t>
      </w:r>
      <w:r w:rsidR="00C90FBD">
        <w:t xml:space="preserve">e </w:t>
      </w:r>
      <w:r w:rsidRPr="00B416D3">
        <w:t>nieodłączny</w:t>
      </w:r>
      <w:r w:rsidR="00B416D3" w:rsidRPr="00B416D3">
        <w:t>m</w:t>
      </w:r>
      <w:r w:rsidRPr="00B416D3">
        <w:t xml:space="preserve"> element</w:t>
      </w:r>
      <w:r w:rsidR="00B416D3" w:rsidRPr="00B416D3">
        <w:t>em</w:t>
      </w:r>
      <w:r w:rsidRPr="00B416D3">
        <w:t xml:space="preserve"> większego projektu (nie będąc</w:t>
      </w:r>
      <w:r w:rsidR="00B416D3">
        <w:t xml:space="preserve">ą </w:t>
      </w:r>
      <w:r w:rsidRPr="00B416D3">
        <w:t xml:space="preserve">dominującym elementem projektu) </w:t>
      </w:r>
      <w:r w:rsidRPr="00383B7E">
        <w:t>do wysokości 15% kosztów kwalifikowalnych</w:t>
      </w:r>
      <w:r w:rsidRPr="00B416D3">
        <w:t xml:space="preserve"> projektu,</w:t>
      </w:r>
    </w:p>
    <w:p w14:paraId="53E35279" w14:textId="23F7F699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koszty zakupu </w:t>
      </w:r>
      <w:r w:rsidR="002D6DD9">
        <w:t xml:space="preserve">i montażu </w:t>
      </w:r>
      <w:r w:rsidR="007253E4">
        <w:t xml:space="preserve">trwałego wyposażenia </w:t>
      </w:r>
      <w:r w:rsidR="007A028F">
        <w:t xml:space="preserve">oraz wartości niematerialnych i prawnych </w:t>
      </w:r>
      <w:r w:rsidR="002D6DD9">
        <w:t xml:space="preserve">podlegających amortyzacji, ujętych w ewidencji środków trwałych oraz wartości niematerialnych i prawnych, </w:t>
      </w:r>
    </w:p>
    <w:p w14:paraId="586B8C92" w14:textId="5EEA7CCE" w:rsidR="00B416D3" w:rsidRPr="00F251A3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  <w:rPr>
          <w:strike/>
        </w:rPr>
      </w:pPr>
      <w:r w:rsidRPr="00D57DDF">
        <w:t xml:space="preserve">koszty zakupu sprzętu ratowniczego/ ratunkowego oraz </w:t>
      </w:r>
      <w:r w:rsidR="00B416D3">
        <w:t xml:space="preserve">sprzętu </w:t>
      </w:r>
      <w:r w:rsidRPr="00D57DDF">
        <w:t>stanowiącego udogodnienie dla osób z niepełnosprawnościami (np. amfibie)</w:t>
      </w:r>
      <w:r w:rsidR="006E592C">
        <w:rPr>
          <w:rStyle w:val="Odwoanieprzypisudolnego"/>
        </w:rPr>
        <w:footnoteReference w:id="2"/>
      </w:r>
      <w:r w:rsidRPr="00D57DDF">
        <w:t xml:space="preserve"> </w:t>
      </w:r>
    </w:p>
    <w:p w14:paraId="64C2CF50" w14:textId="008C5104" w:rsidR="00F251A3" w:rsidRPr="00F251A3" w:rsidRDefault="00F251A3" w:rsidP="00F251A3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lastRenderedPageBreak/>
        <w:t>koszty budowy, rozbudowy, przebudowy albo innych robót budowlanych związanych z magazynami sprzętu wodnego i sanitariatami</w:t>
      </w:r>
      <w:r>
        <w:rPr>
          <w:rStyle w:val="Odwoanieprzypisudolnego"/>
        </w:rPr>
        <w:footnoteReference w:id="3"/>
      </w:r>
      <w:r>
        <w:t xml:space="preserve">, </w:t>
      </w:r>
    </w:p>
    <w:p w14:paraId="6E382ED4" w14:textId="77777777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>koszt nadzoru inwestorskiego:</w:t>
      </w:r>
    </w:p>
    <w:p w14:paraId="7C697D03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2% kosztów robót budowlanych i montażowych (kwalifikowalnych i niekwalifikowalnych) bez kontroli rozliczenia budowy,</w:t>
      </w:r>
    </w:p>
    <w:p w14:paraId="75EDE1FC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3% kosztów robót budowlanych i montażowych (kwalifikowalnych i niekwalifikowalnych) z kontrolą rozliczenia budowy,</w:t>
      </w:r>
    </w:p>
    <w:p w14:paraId="4203712A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inżyniera kontraktu, inwestora zastępczego do 7% kosztów robót budowlanych i montażowych (kwalifikowalnych i niekwalifikowalnych),</w:t>
      </w:r>
    </w:p>
    <w:p w14:paraId="19193266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nadzoru autorskiego do 15 % kosztów dokumentacji projektowej związanej z realizowanym projektem,</w:t>
      </w:r>
    </w:p>
    <w:p w14:paraId="76AF3A3C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koszty informacji i promocji w szczególności:</w:t>
      </w:r>
    </w:p>
    <w:p w14:paraId="3B59FF11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przygotowanie lub aktualizacja informacji lub zakładki na stronie internetowej poświęconej projektowi,</w:t>
      </w:r>
    </w:p>
    <w:p w14:paraId="069AFEFA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koszt usługi zleconej w zakresie prowadzenia konta w mediach społecznościowych,</w:t>
      </w:r>
    </w:p>
    <w:p w14:paraId="03348175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tablice informacyjne,</w:t>
      </w:r>
    </w:p>
    <w:p w14:paraId="105727AB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plakaty informacyjne w miejscu realizacji projektu,</w:t>
      </w:r>
    </w:p>
    <w:p w14:paraId="7A998D82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  podatek od towarów i usług (VAT). </w:t>
      </w:r>
    </w:p>
    <w:p w14:paraId="3D1B29BF" w14:textId="77777777" w:rsidR="00CD5F06" w:rsidRPr="00D57DDF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612706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612706">
        <w:rPr>
          <w:b/>
          <w:sz w:val="24"/>
        </w:rPr>
        <w:t xml:space="preserve">Wydatki niekwalifikowalne </w:t>
      </w:r>
    </w:p>
    <w:p w14:paraId="1825B08B" w14:textId="3BF966D3" w:rsidR="00CD5F06" w:rsidRPr="00D57DDF" w:rsidRDefault="00CD5F06" w:rsidP="00766D3A">
      <w:pPr>
        <w:spacing w:after="160" w:line="259" w:lineRule="auto"/>
        <w:contextualSpacing/>
        <w:jc w:val="both"/>
      </w:pPr>
      <w:r w:rsidRPr="005A227D">
        <w:rPr>
          <w:b/>
        </w:rPr>
        <w:t>Niekwalifikowalne</w:t>
      </w:r>
      <w:r w:rsidR="00F218EB">
        <w:rPr>
          <w:b/>
        </w:rPr>
        <w:t xml:space="preserve"> wydatki </w:t>
      </w:r>
      <w:r w:rsidR="00F218EB" w:rsidRPr="00F218EB">
        <w:t>poniesione</w:t>
      </w:r>
      <w:r w:rsidR="00766D3A">
        <w:rPr>
          <w:b/>
        </w:rPr>
        <w:t xml:space="preserve"> </w:t>
      </w:r>
      <w:r>
        <w:t xml:space="preserve">w ramach projektu </w:t>
      </w:r>
      <w:r w:rsidRPr="00D57DDF">
        <w:t>obejmują w szczególności:</w:t>
      </w:r>
      <w:r w:rsidRPr="005A227D">
        <w:rPr>
          <w:b/>
        </w:rPr>
        <w:t xml:space="preserve"> </w:t>
      </w:r>
      <w:r w:rsidRPr="00D57DDF">
        <w:t xml:space="preserve"> </w:t>
      </w:r>
    </w:p>
    <w:p w14:paraId="2A2EDAA1" w14:textId="21B23FCD" w:rsidR="00C0086B" w:rsidRDefault="00CD5F06" w:rsidP="00C0086B">
      <w:pPr>
        <w:pStyle w:val="Nagwek2"/>
        <w:spacing w:before="0" w:after="160" w:line="259" w:lineRule="auto"/>
        <w:contextualSpacing/>
      </w:pPr>
      <w:r w:rsidRPr="00B416D3">
        <w:t xml:space="preserve">koszty </w:t>
      </w:r>
      <w:r w:rsidR="0049260B">
        <w:t xml:space="preserve">budowy nowych dróg lub parkingów </w:t>
      </w:r>
      <w:r w:rsidRPr="00B416D3">
        <w:t>ni</w:t>
      </w:r>
      <w:r w:rsidR="003B4D29" w:rsidRPr="00B416D3">
        <w:t>e</w:t>
      </w:r>
      <w:r w:rsidR="003870C8" w:rsidRPr="00B416D3">
        <w:t xml:space="preserve"> </w:t>
      </w:r>
      <w:r w:rsidRPr="00B416D3">
        <w:t>stanowiąc</w:t>
      </w:r>
      <w:r w:rsidR="0049260B">
        <w:t xml:space="preserve">ych </w:t>
      </w:r>
      <w:r w:rsidRPr="00B416D3">
        <w:t>niezbędnych miejsc postojowych użytkowanych tylko przez osoby z niepełnosprawnościami albo wjazdów w obrębie kąpieliska dla osób z niepełnosprawnościami</w:t>
      </w:r>
      <w:r w:rsidR="00F218EB" w:rsidRPr="00B416D3">
        <w:t>,</w:t>
      </w:r>
    </w:p>
    <w:p w14:paraId="07E2F84E" w14:textId="7CF2FFC6" w:rsidR="00C0086B" w:rsidRDefault="002764CD" w:rsidP="00C0086B">
      <w:pPr>
        <w:pStyle w:val="Nagwek2"/>
        <w:spacing w:before="0" w:after="160" w:line="259" w:lineRule="auto"/>
        <w:contextualSpacing/>
      </w:pPr>
      <w:r w:rsidRPr="00612706">
        <w:t xml:space="preserve">koszty </w:t>
      </w:r>
      <w:r w:rsidR="00E56095">
        <w:t xml:space="preserve">budowy nowych dróg lub parkingów </w:t>
      </w:r>
      <w:r w:rsidRPr="00612706">
        <w:t>stanowiąc</w:t>
      </w:r>
      <w:r w:rsidR="00E56095">
        <w:t xml:space="preserve">ych </w:t>
      </w:r>
      <w:r w:rsidRPr="00612706">
        <w:t xml:space="preserve">niezbędne miejsca postojowe użytkowane tylko przez osoby z niepełnosprawnościami albo wjazdy w obrębie kąpieliska dla osób z niepełnosprawnościami, </w:t>
      </w:r>
      <w:r w:rsidR="00B416D3" w:rsidRPr="00612706">
        <w:t>będąc</w:t>
      </w:r>
      <w:r w:rsidR="00E56095">
        <w:t xml:space="preserve">e </w:t>
      </w:r>
      <w:r w:rsidRPr="00612706">
        <w:t>nieodłączny</w:t>
      </w:r>
      <w:r w:rsidR="00612706" w:rsidRPr="00612706">
        <w:t>m</w:t>
      </w:r>
      <w:r w:rsidRPr="00612706">
        <w:t xml:space="preserve"> element</w:t>
      </w:r>
      <w:r w:rsidR="00612706" w:rsidRPr="00612706">
        <w:t>em</w:t>
      </w:r>
      <w:r w:rsidRPr="00612706">
        <w:t xml:space="preserve"> większego projektu (nie będąc</w:t>
      </w:r>
      <w:r w:rsidR="00612706" w:rsidRPr="00612706">
        <w:t xml:space="preserve">ą </w:t>
      </w:r>
      <w:r w:rsidRPr="00612706">
        <w:t xml:space="preserve">dominującym elementem projektu) </w:t>
      </w:r>
      <w:r w:rsidRPr="00383B7E">
        <w:t>powyżej 15% kosztów kwalifikowalnych</w:t>
      </w:r>
      <w:r w:rsidRPr="00612706">
        <w:t xml:space="preserve"> projektu</w:t>
      </w:r>
      <w:r w:rsidR="00F218EB" w:rsidRPr="00612706">
        <w:t>,</w:t>
      </w:r>
    </w:p>
    <w:p w14:paraId="4E228F9A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 xml:space="preserve">koszty pośrednie o których mowa w Podrozdziale 3.12 Wytycznych dotyczących kwalifikowalności, </w:t>
      </w:r>
    </w:p>
    <w:p w14:paraId="7D534D5E" w14:textId="058FE5BF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nadzoru inwestorskiego, inżyniera kontraktu oraz nadzoru autorskiego powyżej limitów określonych w pkt.</w:t>
      </w:r>
      <w:r w:rsidR="0045435A">
        <w:t xml:space="preserve"> </w:t>
      </w:r>
      <w:r w:rsidR="00623F12">
        <w:t>1</w:t>
      </w:r>
      <w:r w:rsidRPr="00AB5672">
        <w:t xml:space="preserve">, </w:t>
      </w:r>
    </w:p>
    <w:p w14:paraId="4427933B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wynagrodzeń personelu bezpośredniego beneficjenta/partnerów,</w:t>
      </w:r>
    </w:p>
    <w:p w14:paraId="1DEF56A9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6FC95819" w14:textId="71648520" w:rsidR="00C0086B" w:rsidRDefault="007A028F" w:rsidP="00C0086B">
      <w:pPr>
        <w:pStyle w:val="Nagwek2"/>
        <w:spacing w:before="0" w:after="160" w:line="259" w:lineRule="auto"/>
        <w:contextualSpacing/>
      </w:pPr>
      <w:r>
        <w:t xml:space="preserve">koszty </w:t>
      </w:r>
      <w:r w:rsidR="00CD5F06" w:rsidRPr="00AB5672">
        <w:t>zakup</w:t>
      </w:r>
      <w:r>
        <w:t>u</w:t>
      </w:r>
      <w:r w:rsidR="00CD5F06" w:rsidRPr="00AB5672">
        <w:t xml:space="preserve"> wyposażenia i wartości niematerialnych i prawnych niepodlegających amortyzacji oraz nieujętych w ewidencji środków trwałych oraz wartości niematerialnych i prawnych</w:t>
      </w:r>
      <w:r w:rsidR="00814E9E">
        <w:t xml:space="preserve"> za </w:t>
      </w:r>
      <w:r w:rsidR="00814E9E">
        <w:lastRenderedPageBreak/>
        <w:t xml:space="preserve">wyjątkiem zakupu sprzętu ratowniczego i ratunkowego oraz sprzętu stanowiącego udogodnienia dla osób </w:t>
      </w:r>
      <w:r w:rsidR="00274B33">
        <w:t>niepełnosprawnych zatwierdzonych przez IZ FEP 2021-2027</w:t>
      </w:r>
      <w:r w:rsidR="00895C43">
        <w:rPr>
          <w:rStyle w:val="Odwoanieprzypisudolnego"/>
        </w:rPr>
        <w:footnoteReference w:id="4"/>
      </w:r>
    </w:p>
    <w:p w14:paraId="37F80B80" w14:textId="7B0E546A" w:rsidR="00CD5F06" w:rsidRDefault="00CD5F06" w:rsidP="00C0086B">
      <w:pPr>
        <w:pStyle w:val="Nagwek2"/>
        <w:spacing w:before="0" w:after="160" w:line="259" w:lineRule="auto"/>
        <w:contextualSpacing/>
      </w:pPr>
      <w:r w:rsidRPr="00AB5672">
        <w:t>wydatki wyszczególnione w Podrozdziale 2.3 Wytycznych MFiPR dotyczących kwalifikowalności wydatków na lata 2021-2027.</w:t>
      </w:r>
    </w:p>
    <w:p w14:paraId="459E4A89" w14:textId="54A0B7FD" w:rsidR="006A3EAB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D833ED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66F35262" w14:textId="46D9CEF4" w:rsidR="00CC1225" w:rsidRDefault="00155577" w:rsidP="00FE4FBA">
      <w:pPr>
        <w:shd w:val="clear" w:color="auto" w:fill="F2F2F2" w:themeFill="background1" w:themeFillShade="F2"/>
        <w:spacing w:after="120"/>
        <w:jc w:val="both"/>
      </w:pPr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>
        <w:t xml:space="preserve">. </w:t>
      </w:r>
    </w:p>
    <w:p w14:paraId="5F426244" w14:textId="1DCABFDF" w:rsidR="00FE4FBA" w:rsidRPr="004E7F64" w:rsidRDefault="00FE4FBA" w:rsidP="00FE4FBA">
      <w:pPr>
        <w:shd w:val="clear" w:color="auto" w:fill="F2F2F2" w:themeFill="background1" w:themeFillShade="F2"/>
        <w:spacing w:after="120"/>
        <w:jc w:val="both"/>
      </w:pPr>
      <w:r w:rsidRPr="004E7F64">
        <w:t>Wnioskodawca jest zobowiązany do stosowania zasad określonych w Podrozdziale 3.2. Zasada konkurencyjności Wytycznych dotyczących kwalifikowalności wydatków na lata 2021-2027 (o ile dotyczy).</w:t>
      </w:r>
    </w:p>
    <w:p w14:paraId="77226E1D" w14:textId="050549BB" w:rsidR="00CC1225" w:rsidRDefault="00CC1225" w:rsidP="00FE4FBA">
      <w:pPr>
        <w:shd w:val="clear" w:color="auto" w:fill="F2F2F2" w:themeFill="background1" w:themeFillShade="F2"/>
        <w:jc w:val="both"/>
      </w:pPr>
      <w:r w:rsidRPr="004E7F64">
        <w:t xml:space="preserve">W </w:t>
      </w:r>
      <w:r w:rsidR="00FE4FBA" w:rsidRPr="004E7F64">
        <w:t xml:space="preserve">takim </w:t>
      </w:r>
      <w:r w:rsidRPr="004E7F64">
        <w:t xml:space="preserve">przypadku, </w:t>
      </w:r>
      <w:r w:rsidR="00FE4FBA" w:rsidRPr="004E7F64">
        <w:t xml:space="preserve">jeśli </w:t>
      </w:r>
      <w:r w:rsidRPr="004E7F6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C0086B">
          <w:rPr>
            <w:rStyle w:val="Hipercze"/>
          </w:rPr>
          <w:t>Bazy Konkurencyjności (BK2021)</w:t>
        </w:r>
      </w:hyperlink>
      <w:r w:rsidRPr="004E7F64">
        <w:t xml:space="preserve"> – zgodnie z treścią Sekcji 3.2.3 Ogłoszenia Podrozdziału 3.2. Wytycznych dotyczących kwalifikowalności wydatków na lata 2021-2027.</w:t>
      </w:r>
    </w:p>
    <w:p w14:paraId="2CE53E88" w14:textId="77777777" w:rsidR="00CC1225" w:rsidRDefault="00CC1225" w:rsidP="00155577">
      <w:pPr>
        <w:shd w:val="clear" w:color="auto" w:fill="F2F2F2" w:themeFill="background1" w:themeFillShade="F2"/>
        <w:spacing w:after="120"/>
      </w:pPr>
    </w:p>
    <w:bookmarkEnd w:id="0"/>
    <w:p w14:paraId="594B3C8C" w14:textId="46F9E07D" w:rsidR="00D37D4A" w:rsidRDefault="00D37D4A" w:rsidP="00C0086B">
      <w:pPr>
        <w:autoSpaceDE w:val="0"/>
        <w:autoSpaceDN w:val="0"/>
        <w:adjustRightInd w:val="0"/>
        <w:spacing w:line="240" w:lineRule="auto"/>
        <w:contextualSpacing/>
        <w:jc w:val="both"/>
      </w:pPr>
    </w:p>
    <w:sectPr w:rsidR="00D37D4A" w:rsidSect="00FB5E92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38DB" w14:textId="77777777" w:rsidR="005E6080" w:rsidRDefault="005E6080">
      <w:r>
        <w:separator/>
      </w:r>
    </w:p>
  </w:endnote>
  <w:endnote w:type="continuationSeparator" w:id="0">
    <w:p w14:paraId="0907CA28" w14:textId="77777777" w:rsidR="005E6080" w:rsidRDefault="005E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33349113"/>
  <w:bookmarkStart w:id="3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2804" w14:textId="77777777" w:rsidR="005E6080" w:rsidRDefault="005E6080">
      <w:r>
        <w:separator/>
      </w:r>
    </w:p>
  </w:footnote>
  <w:footnote w:type="continuationSeparator" w:id="0">
    <w:p w14:paraId="11C26B8F" w14:textId="77777777" w:rsidR="005E6080" w:rsidRDefault="005E6080">
      <w:r>
        <w:continuationSeparator/>
      </w:r>
    </w:p>
  </w:footnote>
  <w:footnote w:id="1">
    <w:p w14:paraId="00C820CA" w14:textId="77777777" w:rsidR="00B416D3" w:rsidRPr="00650042" w:rsidRDefault="00B416D3" w:rsidP="00B416D3">
      <w:pPr>
        <w:pStyle w:val="Tekstprzypisudolnego"/>
        <w:spacing w:line="240" w:lineRule="auto"/>
        <w:jc w:val="both"/>
        <w:rPr>
          <w:rFonts w:ascii="Calibri" w:hAnsi="Calibri" w:cs="Calibri"/>
          <w:i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23D52">
        <w:rPr>
          <w:rFonts w:ascii="Calibri" w:hAnsi="Calibri" w:cs="Calibri"/>
          <w:sz w:val="20"/>
        </w:rPr>
        <w:t>Zgodnie z SZOP</w:t>
      </w:r>
      <w:r>
        <w:rPr>
          <w:rFonts w:ascii="Calibri" w:hAnsi="Calibri" w:cs="Calibri"/>
          <w:sz w:val="20"/>
        </w:rPr>
        <w:t xml:space="preserve">, </w:t>
      </w:r>
      <w:r w:rsidRPr="00650042">
        <w:rPr>
          <w:rFonts w:ascii="Calibri" w:hAnsi="Calibri" w:cs="Calibri"/>
          <w:i/>
          <w:sz w:val="20"/>
        </w:rPr>
        <w:t>kąpielisko należy rozpatrywać w granicach od wyznaczonego wejścia do wydzielonego i oznakowanego fragmentu wód, obejmującego całą infrastrukturę niezbędną do jego funkcjonowania i zapewnienia bezpieczeństwa kąpiących się osób.</w:t>
      </w:r>
    </w:p>
  </w:footnote>
  <w:footnote w:id="2">
    <w:p w14:paraId="6FED9E88" w14:textId="0150D4B1" w:rsidR="006E592C" w:rsidRPr="00D82C0F" w:rsidRDefault="006E592C">
      <w:pPr>
        <w:pStyle w:val="Tekstprzypisudolnego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 xml:space="preserve">Dotyczy typu projektów: Rozwój infrastruktury bezpiecznych kąpielisk </w:t>
      </w:r>
    </w:p>
  </w:footnote>
  <w:footnote w:id="3">
    <w:p w14:paraId="220CC3BF" w14:textId="13CC1FA0" w:rsidR="00F251A3" w:rsidRDefault="00F251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  <w:footnote w:id="4">
    <w:p w14:paraId="5E72F68D" w14:textId="310C3D17" w:rsidR="00895C43" w:rsidRDefault="00895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813">
    <w:abstractNumId w:val="0"/>
  </w:num>
  <w:num w:numId="2" w16cid:durableId="1732315130">
    <w:abstractNumId w:val="5"/>
  </w:num>
  <w:num w:numId="3" w16cid:durableId="1531608862">
    <w:abstractNumId w:val="1"/>
  </w:num>
  <w:num w:numId="4" w16cid:durableId="796531523">
    <w:abstractNumId w:val="2"/>
  </w:num>
  <w:num w:numId="5" w16cid:durableId="1804541590">
    <w:abstractNumId w:val="3"/>
  </w:num>
  <w:num w:numId="6" w16cid:durableId="1283264955">
    <w:abstractNumId w:val="4"/>
  </w:num>
  <w:num w:numId="7" w16cid:durableId="422339872">
    <w:abstractNumId w:val="8"/>
  </w:num>
  <w:num w:numId="8" w16cid:durableId="213153820">
    <w:abstractNumId w:val="6"/>
  </w:num>
  <w:num w:numId="9" w16cid:durableId="60758658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96ED0F0-B3D4-4BA1-9348-53E14528283D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3B7"/>
    <w:rsid w:val="001B1671"/>
    <w:rsid w:val="001B18B8"/>
    <w:rsid w:val="001B1921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2F7C9C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1F30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35A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1992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3CC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936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0EBD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060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333C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608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B79A3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0EA2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028F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2B57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46D1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0AED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40F3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17E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0F29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D0F0-B3D4-4BA1-9348-53E1452828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E75D257-5087-4EDB-9F91-FDBFD8C9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2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5812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Stanisław Piesik</cp:lastModifiedBy>
  <cp:revision>7</cp:revision>
  <cp:lastPrinted>2023-09-22T13:20:00Z</cp:lastPrinted>
  <dcterms:created xsi:type="dcterms:W3CDTF">2025-02-11T04:57:00Z</dcterms:created>
  <dcterms:modified xsi:type="dcterms:W3CDTF">2025-03-25T10:29:00Z</dcterms:modified>
</cp:coreProperties>
</file>