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A7F8" w14:textId="5F44BB84" w:rsidR="003919B6" w:rsidRPr="00151C08" w:rsidRDefault="003919B6" w:rsidP="003919B6">
      <w:pPr>
        <w:pStyle w:val="Nagwek"/>
        <w:jc w:val="right"/>
        <w:rPr>
          <w:rFonts w:asciiTheme="minorHAnsi" w:hAnsiTheme="minorHAnsi" w:cstheme="minorHAnsi"/>
          <w:sz w:val="18"/>
          <w:szCs w:val="18"/>
        </w:rPr>
      </w:pPr>
      <w:r w:rsidRPr="00151C08">
        <w:rPr>
          <w:rFonts w:asciiTheme="minorHAnsi" w:hAnsiTheme="minorHAnsi" w:cstheme="minorHAnsi"/>
          <w:sz w:val="18"/>
          <w:szCs w:val="18"/>
        </w:rPr>
        <w:t xml:space="preserve">Załącznik do uchwały nr </w:t>
      </w:r>
      <w:r w:rsidR="006542C3">
        <w:rPr>
          <w:rFonts w:asciiTheme="minorHAnsi" w:hAnsiTheme="minorHAnsi" w:cstheme="minorHAnsi"/>
          <w:sz w:val="18"/>
          <w:szCs w:val="18"/>
        </w:rPr>
        <w:t>…</w:t>
      </w:r>
      <w:r w:rsidRPr="00151C08">
        <w:rPr>
          <w:rFonts w:asciiTheme="minorHAnsi" w:hAnsiTheme="minorHAnsi" w:cstheme="minorHAnsi"/>
          <w:sz w:val="18"/>
          <w:szCs w:val="18"/>
        </w:rPr>
        <w:t>/202</w:t>
      </w:r>
      <w:r w:rsidR="006542C3">
        <w:rPr>
          <w:rFonts w:asciiTheme="minorHAnsi" w:hAnsiTheme="minorHAnsi" w:cstheme="minorHAnsi"/>
          <w:sz w:val="18"/>
          <w:szCs w:val="18"/>
        </w:rPr>
        <w:t>6</w:t>
      </w:r>
      <w:r w:rsidRPr="00151C08">
        <w:rPr>
          <w:rFonts w:asciiTheme="minorHAnsi" w:hAnsiTheme="minorHAnsi" w:cstheme="minorHAnsi"/>
          <w:sz w:val="18"/>
          <w:szCs w:val="18"/>
        </w:rPr>
        <w:t xml:space="preserve"> Rady Stowarzyszenia Lokalna Grupa Działania Sandry Brdy z dnia </w:t>
      </w:r>
      <w:r w:rsidR="006542C3">
        <w:rPr>
          <w:rFonts w:asciiTheme="minorHAnsi" w:hAnsiTheme="minorHAnsi" w:cstheme="minorHAnsi"/>
          <w:sz w:val="18"/>
          <w:szCs w:val="18"/>
        </w:rPr>
        <w:t>…</w:t>
      </w:r>
      <w:r w:rsidRPr="00151C08">
        <w:rPr>
          <w:rFonts w:asciiTheme="minorHAnsi" w:hAnsiTheme="minorHAnsi" w:cstheme="minorHAnsi"/>
          <w:sz w:val="18"/>
          <w:szCs w:val="18"/>
        </w:rPr>
        <w:t xml:space="preserve"> r.</w:t>
      </w:r>
    </w:p>
    <w:p w14:paraId="76B7A9AF" w14:textId="77777777" w:rsidR="003919B6" w:rsidRPr="00151C08" w:rsidRDefault="003919B6" w:rsidP="003919B6">
      <w:pPr>
        <w:rPr>
          <w:rFonts w:cstheme="minorHAnsi"/>
          <w:b/>
          <w:bCs/>
        </w:rPr>
      </w:pPr>
    </w:p>
    <w:p w14:paraId="7EF5A18C" w14:textId="1E06FCD1" w:rsidR="003919B6" w:rsidRPr="00151C08" w:rsidRDefault="003919B6" w:rsidP="003919B6">
      <w:pPr>
        <w:rPr>
          <w:rFonts w:cstheme="minorHAnsi"/>
          <w:b/>
        </w:rPr>
      </w:pPr>
      <w:r w:rsidRPr="00151C08">
        <w:rPr>
          <w:rFonts w:cstheme="minorHAnsi"/>
          <w:b/>
          <w:bCs/>
        </w:rPr>
        <w:t>KRYTERIA WYBORU OPERACJI dla działania P.3.2.</w:t>
      </w:r>
      <w:r w:rsidR="00683932">
        <w:rPr>
          <w:rFonts w:cstheme="minorHAnsi"/>
          <w:b/>
          <w:bCs/>
        </w:rPr>
        <w:t>1</w:t>
      </w:r>
      <w:r w:rsidRPr="00151C08">
        <w:rPr>
          <w:rFonts w:cstheme="minorHAnsi"/>
          <w:b/>
          <w:bCs/>
        </w:rPr>
        <w:t xml:space="preserve"> </w:t>
      </w:r>
      <w:r w:rsidRPr="00151C08">
        <w:rPr>
          <w:rFonts w:cstheme="minorHAnsi"/>
          <w:b/>
        </w:rPr>
        <w:t xml:space="preserve">Wsparcie </w:t>
      </w:r>
      <w:r w:rsidR="00683932">
        <w:rPr>
          <w:rFonts w:cstheme="minorHAnsi"/>
          <w:b/>
        </w:rPr>
        <w:t>mieszkańców w podejmowaniu działalności gospodarczej</w:t>
      </w:r>
    </w:p>
    <w:p w14:paraId="3043652E" w14:textId="77777777" w:rsidR="003919B6" w:rsidRPr="00151C08" w:rsidRDefault="003919B6" w:rsidP="003919B6">
      <w:pPr>
        <w:rPr>
          <w:rFonts w:cstheme="minorHAnsi"/>
          <w:b/>
          <w:bCs/>
        </w:rPr>
      </w:pPr>
      <w:r w:rsidRPr="00151C08">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8"/>
        <w:gridCol w:w="1720"/>
        <w:gridCol w:w="6198"/>
        <w:gridCol w:w="2829"/>
        <w:gridCol w:w="2829"/>
      </w:tblGrid>
      <w:tr w:rsidR="003919B6" w:rsidRPr="00151C08" w14:paraId="743FDDCA" w14:textId="77777777" w:rsidTr="00102D6D">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248D7027"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611444DC"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61A28AB4"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33B012FA"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04D4D6C4"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Źródło weryfikacji</w:t>
            </w:r>
          </w:p>
        </w:tc>
      </w:tr>
      <w:tr w:rsidR="003919B6" w:rsidRPr="00151C08" w14:paraId="2353A8A1" w14:textId="77777777" w:rsidTr="00102D6D">
        <w:trPr>
          <w:trHeight w:val="2304"/>
        </w:trPr>
        <w:tc>
          <w:tcPr>
            <w:tcW w:w="201" w:type="pct"/>
            <w:tcBorders>
              <w:top w:val="nil"/>
              <w:left w:val="single" w:sz="4" w:space="0" w:color="auto"/>
              <w:bottom w:val="single" w:sz="4" w:space="0" w:color="auto"/>
              <w:right w:val="single" w:sz="4" w:space="0" w:color="auto"/>
            </w:tcBorders>
            <w:noWrap/>
            <w:vAlign w:val="center"/>
          </w:tcPr>
          <w:p w14:paraId="512C7E4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1.</w:t>
            </w:r>
          </w:p>
        </w:tc>
        <w:tc>
          <w:tcPr>
            <w:tcW w:w="608" w:type="pct"/>
            <w:tcBorders>
              <w:top w:val="nil"/>
              <w:left w:val="nil"/>
              <w:bottom w:val="single" w:sz="4" w:space="0" w:color="auto"/>
              <w:right w:val="single" w:sz="4" w:space="0" w:color="auto"/>
            </w:tcBorders>
            <w:vAlign w:val="center"/>
          </w:tcPr>
          <w:p w14:paraId="32F43E6F"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Brak funkcji w LGD Sandry Brdy</w:t>
            </w:r>
          </w:p>
        </w:tc>
        <w:tc>
          <w:tcPr>
            <w:tcW w:w="2191" w:type="pct"/>
            <w:tcBorders>
              <w:top w:val="nil"/>
              <w:left w:val="nil"/>
              <w:bottom w:val="single" w:sz="4" w:space="0" w:color="auto"/>
              <w:right w:val="single" w:sz="4" w:space="0" w:color="auto"/>
            </w:tcBorders>
            <w:vAlign w:val="center"/>
          </w:tcPr>
          <w:p w14:paraId="5F0BF25A" w14:textId="77777777" w:rsidR="003919B6" w:rsidRPr="00151C08" w:rsidRDefault="003919B6" w:rsidP="00102D6D">
            <w:pPr>
              <w:rPr>
                <w:rFonts w:cstheme="minorHAnsi"/>
                <w:sz w:val="20"/>
                <w:szCs w:val="20"/>
              </w:rPr>
            </w:pPr>
            <w:r w:rsidRPr="00151C08">
              <w:rPr>
                <w:rFonts w:cstheme="minorHAnsi"/>
                <w:sz w:val="20"/>
                <w:szCs w:val="20"/>
              </w:rPr>
              <w:t>Kryterium dopuszcza do dalszej oceny operację, której Wnioskodawca nie jest:</w:t>
            </w:r>
          </w:p>
          <w:p w14:paraId="685D5237" w14:textId="77777777" w:rsidR="003919B6" w:rsidRPr="00151C08" w:rsidRDefault="003919B6" w:rsidP="00102D6D">
            <w:pPr>
              <w:pStyle w:val="Akapitzlist"/>
              <w:numPr>
                <w:ilvl w:val="0"/>
                <w:numId w:val="1"/>
              </w:numPr>
              <w:rPr>
                <w:rFonts w:cstheme="minorHAnsi"/>
                <w:sz w:val="20"/>
                <w:szCs w:val="20"/>
              </w:rPr>
            </w:pPr>
            <w:r w:rsidRPr="00151C08">
              <w:rPr>
                <w:rFonts w:cstheme="minorHAnsi"/>
                <w:sz w:val="20"/>
                <w:szCs w:val="20"/>
              </w:rPr>
              <w:t>Osobą fizyczną realizującą działania związane z wdrażaniem LSR, zatrudnioną przez LGD Sandry Brdy lub pełniącą funkcję członka Zarządu LGD Sandry Brdy</w:t>
            </w:r>
          </w:p>
          <w:p w14:paraId="5F27FAEB" w14:textId="77777777" w:rsidR="003919B6" w:rsidRPr="00151C08" w:rsidRDefault="003919B6" w:rsidP="00102D6D">
            <w:pPr>
              <w:pStyle w:val="Akapitzlist"/>
              <w:numPr>
                <w:ilvl w:val="0"/>
                <w:numId w:val="1"/>
              </w:numPr>
              <w:rPr>
                <w:rFonts w:cstheme="minorHAnsi"/>
                <w:sz w:val="20"/>
                <w:szCs w:val="20"/>
              </w:rPr>
            </w:pPr>
            <w:r w:rsidRPr="00151C08">
              <w:rPr>
                <w:rFonts w:cstheme="minorHAnsi"/>
                <w:sz w:val="20"/>
                <w:szCs w:val="20"/>
              </w:rPr>
              <w:t>Podmiotem, w którym osoby wymienione w pkt 1 są wspólnikami spółek prawa handlowego lub prowadzą działalność w formie spółki cywilnej</w:t>
            </w:r>
          </w:p>
        </w:tc>
        <w:tc>
          <w:tcPr>
            <w:tcW w:w="1000" w:type="pct"/>
            <w:tcBorders>
              <w:top w:val="nil"/>
              <w:left w:val="nil"/>
              <w:bottom w:val="single" w:sz="4" w:space="0" w:color="auto"/>
              <w:right w:val="single" w:sz="4" w:space="0" w:color="auto"/>
            </w:tcBorders>
            <w:vAlign w:val="center"/>
          </w:tcPr>
          <w:p w14:paraId="1BD1FBA4"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61AF762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 oraz dokumentacji wewnętrznej LGD Sandry Brdy</w:t>
            </w:r>
          </w:p>
        </w:tc>
      </w:tr>
      <w:tr w:rsidR="003919B6" w:rsidRPr="00151C08" w14:paraId="33968DCC" w14:textId="77777777" w:rsidTr="00102D6D">
        <w:trPr>
          <w:trHeight w:val="1596"/>
        </w:trPr>
        <w:tc>
          <w:tcPr>
            <w:tcW w:w="201" w:type="pct"/>
            <w:tcBorders>
              <w:top w:val="nil"/>
              <w:left w:val="single" w:sz="4" w:space="0" w:color="auto"/>
              <w:bottom w:val="single" w:sz="4" w:space="0" w:color="auto"/>
              <w:right w:val="single" w:sz="4" w:space="0" w:color="auto"/>
            </w:tcBorders>
            <w:noWrap/>
            <w:vAlign w:val="center"/>
          </w:tcPr>
          <w:p w14:paraId="5B78FDC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2.</w:t>
            </w:r>
          </w:p>
        </w:tc>
        <w:tc>
          <w:tcPr>
            <w:tcW w:w="608" w:type="pct"/>
            <w:tcBorders>
              <w:top w:val="nil"/>
              <w:left w:val="nil"/>
              <w:bottom w:val="single" w:sz="4" w:space="0" w:color="auto"/>
              <w:right w:val="single" w:sz="4" w:space="0" w:color="auto"/>
            </w:tcBorders>
            <w:vAlign w:val="center"/>
          </w:tcPr>
          <w:p w14:paraId="4BABCA13"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Branże czasu wolnego</w:t>
            </w:r>
          </w:p>
        </w:tc>
        <w:tc>
          <w:tcPr>
            <w:tcW w:w="2191" w:type="pct"/>
            <w:tcBorders>
              <w:top w:val="nil"/>
              <w:left w:val="nil"/>
              <w:bottom w:val="single" w:sz="4" w:space="0" w:color="auto"/>
              <w:right w:val="single" w:sz="4" w:space="0" w:color="auto"/>
            </w:tcBorders>
            <w:vAlign w:val="center"/>
          </w:tcPr>
          <w:p w14:paraId="18742980" w14:textId="122DA00C" w:rsidR="003919B6" w:rsidRPr="00151C08" w:rsidRDefault="003919B6" w:rsidP="00102D6D">
            <w:pPr>
              <w:rPr>
                <w:rFonts w:cstheme="minorHAnsi"/>
                <w:sz w:val="20"/>
                <w:szCs w:val="20"/>
              </w:rPr>
            </w:pPr>
            <w:r w:rsidRPr="00151C08">
              <w:rPr>
                <w:rFonts w:cstheme="minorHAnsi"/>
                <w:sz w:val="20"/>
                <w:szCs w:val="20"/>
              </w:rPr>
              <w:t xml:space="preserve">Kryterium dopuszcza do dalszej oceny operację polegającą na  </w:t>
            </w:r>
            <w:r w:rsidR="00151C08" w:rsidRPr="00151C08">
              <w:rPr>
                <w:rFonts w:cstheme="minorHAnsi"/>
                <w:sz w:val="20"/>
                <w:szCs w:val="20"/>
              </w:rPr>
              <w:t>rozwoju działalności gospodarczej w</w:t>
            </w:r>
            <w:r w:rsidRPr="00151C08">
              <w:rPr>
                <w:rFonts w:cstheme="minorHAnsi"/>
                <w:sz w:val="20"/>
                <w:szCs w:val="20"/>
              </w:rPr>
              <w:t xml:space="preserve"> branż</w:t>
            </w:r>
            <w:r w:rsidR="00151C08" w:rsidRPr="00151C08">
              <w:rPr>
                <w:rFonts w:cstheme="minorHAnsi"/>
                <w:sz w:val="20"/>
                <w:szCs w:val="20"/>
              </w:rPr>
              <w:t>y</w:t>
            </w:r>
            <w:r w:rsidRPr="00151C08">
              <w:rPr>
                <w:rFonts w:cstheme="minorHAnsi"/>
                <w:sz w:val="20"/>
                <w:szCs w:val="20"/>
              </w:rPr>
              <w:t xml:space="preserve"> czasu wolnego, definiowane</w:t>
            </w:r>
            <w:r w:rsidR="00151C08" w:rsidRPr="00151C08">
              <w:rPr>
                <w:rFonts w:cstheme="minorHAnsi"/>
                <w:sz w:val="20"/>
                <w:szCs w:val="20"/>
              </w:rPr>
              <w:t>j</w:t>
            </w:r>
            <w:r w:rsidRPr="00151C08">
              <w:rPr>
                <w:rFonts w:cstheme="minorHAnsi"/>
                <w:sz w:val="20"/>
                <w:szCs w:val="20"/>
              </w:rPr>
              <w:t xml:space="preserve"> przez następujące kody PKD.</w:t>
            </w:r>
          </w:p>
          <w:p w14:paraId="3B68CADF"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55.20. Z - Obiekty noclegowe turystyczne i miejsca krótkotrwałego zakwaterowania (tylko obiekty oferujące w sposób zorganizowany miejsca noclegowe – pojedyncze mieszkania/apartamenty na wynajem nie są zaliczane do tej grupy)</w:t>
            </w:r>
          </w:p>
          <w:p w14:paraId="3E3BAFC5"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55.30.Z - Pola kempingowe i pola namiotowe</w:t>
            </w:r>
          </w:p>
          <w:p w14:paraId="12D2DB7B"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56.11.Z - Restauracje</w:t>
            </w:r>
          </w:p>
          <w:p w14:paraId="3E3AB907"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55.10.Z - Hotele i podobne obiekty zakwaterowania</w:t>
            </w:r>
          </w:p>
          <w:p w14:paraId="6F61596B" w14:textId="509FABC4" w:rsidR="00FB0724" w:rsidRPr="00151C08" w:rsidRDefault="00FB0724" w:rsidP="00102D6D">
            <w:pPr>
              <w:pStyle w:val="Akapitzlist"/>
              <w:numPr>
                <w:ilvl w:val="0"/>
                <w:numId w:val="2"/>
              </w:numPr>
              <w:spacing w:after="0" w:line="276" w:lineRule="auto"/>
              <w:rPr>
                <w:rFonts w:cstheme="minorHAnsi"/>
                <w:color w:val="EE0000"/>
                <w:sz w:val="20"/>
                <w:szCs w:val="20"/>
              </w:rPr>
            </w:pPr>
            <w:r w:rsidRPr="00151C08">
              <w:rPr>
                <w:rFonts w:cstheme="minorHAnsi"/>
                <w:color w:val="EE0000"/>
                <w:sz w:val="20"/>
                <w:szCs w:val="20"/>
              </w:rPr>
              <w:t>77.21.Z – Wypożyczenie i dzierżawa sprzętu rekreacyjnego i sportowego</w:t>
            </w:r>
          </w:p>
          <w:p w14:paraId="79A5FBE5" w14:textId="31E8BE88" w:rsidR="00FB0724" w:rsidRPr="00151C08" w:rsidRDefault="00FB0724" w:rsidP="00102D6D">
            <w:pPr>
              <w:pStyle w:val="Akapitzlist"/>
              <w:numPr>
                <w:ilvl w:val="0"/>
                <w:numId w:val="2"/>
              </w:numPr>
              <w:spacing w:after="0" w:line="276" w:lineRule="auto"/>
              <w:rPr>
                <w:rFonts w:cstheme="minorHAnsi"/>
                <w:color w:val="EE0000"/>
                <w:sz w:val="20"/>
                <w:szCs w:val="20"/>
              </w:rPr>
            </w:pPr>
            <w:r w:rsidRPr="00151C08">
              <w:rPr>
                <w:rFonts w:cstheme="minorHAnsi"/>
                <w:color w:val="EE0000"/>
                <w:sz w:val="20"/>
                <w:szCs w:val="20"/>
              </w:rPr>
              <w:lastRenderedPageBreak/>
              <w:t>77.34.Z – Wynajem i dzierżawa środków transportu wodnego</w:t>
            </w:r>
          </w:p>
          <w:p w14:paraId="6DD915FC"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79.12.Z - Organizatorzy turystyki</w:t>
            </w:r>
          </w:p>
          <w:p w14:paraId="3C2D5996"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79.90.Z - Pozostała działalność usługowa w zakresie rezerwacji oraz działalności z nią związane</w:t>
            </w:r>
          </w:p>
          <w:p w14:paraId="32D29ED8" w14:textId="77777777" w:rsidR="003919B6" w:rsidRPr="00151C08" w:rsidRDefault="003919B6" w:rsidP="00102D6D">
            <w:pPr>
              <w:pStyle w:val="Akapitzlist"/>
              <w:numPr>
                <w:ilvl w:val="0"/>
                <w:numId w:val="2"/>
              </w:numPr>
              <w:spacing w:after="0" w:line="276" w:lineRule="auto"/>
              <w:rPr>
                <w:rFonts w:cstheme="minorHAnsi"/>
                <w:sz w:val="20"/>
                <w:szCs w:val="20"/>
              </w:rPr>
            </w:pPr>
            <w:r w:rsidRPr="00151C08">
              <w:rPr>
                <w:rFonts w:cstheme="minorHAnsi"/>
                <w:sz w:val="20"/>
                <w:szCs w:val="20"/>
              </w:rPr>
              <w:t>93.21.Z - Działalność wesołych miasteczek i parków rozrywki</w:t>
            </w:r>
          </w:p>
          <w:p w14:paraId="552485A8" w14:textId="77777777" w:rsidR="003919B6" w:rsidRPr="00151C08" w:rsidRDefault="003919B6" w:rsidP="00102D6D">
            <w:pPr>
              <w:pStyle w:val="Akapitzlist"/>
              <w:numPr>
                <w:ilvl w:val="0"/>
                <w:numId w:val="2"/>
              </w:numPr>
              <w:spacing w:after="0" w:line="276" w:lineRule="auto"/>
              <w:rPr>
                <w:rFonts w:eastAsia="Times New Roman" w:cstheme="minorHAnsi"/>
                <w:color w:val="000000"/>
                <w:sz w:val="20"/>
                <w:szCs w:val="20"/>
                <w:lang w:eastAsia="pl-PL"/>
              </w:rPr>
            </w:pPr>
            <w:r w:rsidRPr="00151C08">
              <w:rPr>
                <w:rFonts w:cstheme="minorHAnsi"/>
                <w:sz w:val="20"/>
                <w:szCs w:val="20"/>
              </w:rPr>
              <w:t>93.29.A - Działalność pokojów zagadek, domów strachu, miejsc do tańczenia i w zakresie innych form rozrywki lub rekreacji organizowanych w pomieszczeniach lub w innych miejscach o zamkniętej przestrzeni,</w:t>
            </w:r>
          </w:p>
          <w:p w14:paraId="752858EB" w14:textId="77777777" w:rsidR="003919B6" w:rsidRPr="00151C08" w:rsidRDefault="003919B6" w:rsidP="00102D6D">
            <w:pPr>
              <w:pStyle w:val="Akapitzlist"/>
              <w:numPr>
                <w:ilvl w:val="0"/>
                <w:numId w:val="2"/>
              </w:numPr>
              <w:spacing w:after="0" w:line="276" w:lineRule="auto"/>
              <w:rPr>
                <w:rFonts w:eastAsia="Times New Roman" w:cstheme="minorHAnsi"/>
                <w:color w:val="000000"/>
                <w:sz w:val="20"/>
                <w:szCs w:val="20"/>
                <w:lang w:eastAsia="pl-PL"/>
              </w:rPr>
            </w:pPr>
            <w:r w:rsidRPr="00151C08">
              <w:rPr>
                <w:rFonts w:cstheme="minorHAnsi"/>
                <w:sz w:val="20"/>
                <w:szCs w:val="20"/>
              </w:rPr>
              <w:t>93.29.B - Pozostała działalność rozrywkowa i rekreacyjna, gdzie indziej niesklasyfikowana.</w:t>
            </w:r>
          </w:p>
        </w:tc>
        <w:tc>
          <w:tcPr>
            <w:tcW w:w="1000" w:type="pct"/>
            <w:tcBorders>
              <w:top w:val="nil"/>
              <w:left w:val="nil"/>
              <w:bottom w:val="single" w:sz="4" w:space="0" w:color="auto"/>
              <w:right w:val="single" w:sz="4" w:space="0" w:color="auto"/>
            </w:tcBorders>
            <w:vAlign w:val="center"/>
          </w:tcPr>
          <w:p w14:paraId="27E815E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Spełnia / nie spełnia</w:t>
            </w:r>
          </w:p>
        </w:tc>
        <w:tc>
          <w:tcPr>
            <w:tcW w:w="1000" w:type="pct"/>
            <w:tcBorders>
              <w:top w:val="nil"/>
              <w:left w:val="nil"/>
              <w:bottom w:val="single" w:sz="4" w:space="0" w:color="auto"/>
              <w:right w:val="single" w:sz="4" w:space="0" w:color="auto"/>
            </w:tcBorders>
            <w:vAlign w:val="center"/>
          </w:tcPr>
          <w:p w14:paraId="0D9BF87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w:t>
            </w:r>
          </w:p>
        </w:tc>
      </w:tr>
      <w:tr w:rsidR="003919B6" w:rsidRPr="00151C08" w14:paraId="4C5BB42B" w14:textId="77777777" w:rsidTr="006542C3">
        <w:trPr>
          <w:trHeight w:val="662"/>
        </w:trPr>
        <w:tc>
          <w:tcPr>
            <w:tcW w:w="201" w:type="pct"/>
            <w:tcBorders>
              <w:top w:val="nil"/>
              <w:left w:val="single" w:sz="4" w:space="0" w:color="auto"/>
              <w:bottom w:val="single" w:sz="4" w:space="0" w:color="auto"/>
              <w:right w:val="single" w:sz="4" w:space="0" w:color="auto"/>
            </w:tcBorders>
            <w:noWrap/>
            <w:vAlign w:val="center"/>
          </w:tcPr>
          <w:p w14:paraId="31CA8BEC"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3.</w:t>
            </w:r>
          </w:p>
        </w:tc>
        <w:tc>
          <w:tcPr>
            <w:tcW w:w="608" w:type="pct"/>
            <w:tcBorders>
              <w:top w:val="nil"/>
              <w:left w:val="nil"/>
              <w:bottom w:val="single" w:sz="4" w:space="0" w:color="auto"/>
              <w:right w:val="single" w:sz="4" w:space="0" w:color="auto"/>
            </w:tcBorders>
            <w:vAlign w:val="center"/>
          </w:tcPr>
          <w:p w14:paraId="4266BB25"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Utworzenie nowego miejsca pracy</w:t>
            </w:r>
          </w:p>
        </w:tc>
        <w:tc>
          <w:tcPr>
            <w:tcW w:w="2191" w:type="pct"/>
            <w:tcBorders>
              <w:top w:val="nil"/>
              <w:left w:val="nil"/>
              <w:bottom w:val="single" w:sz="4" w:space="0" w:color="auto"/>
              <w:right w:val="single" w:sz="4" w:space="0" w:color="auto"/>
            </w:tcBorders>
            <w:vAlign w:val="center"/>
          </w:tcPr>
          <w:p w14:paraId="7A264F2F" w14:textId="77777777" w:rsidR="003919B6" w:rsidRPr="00151C08" w:rsidRDefault="003919B6" w:rsidP="00102D6D">
            <w:pPr>
              <w:spacing w:after="0" w:line="240" w:lineRule="auto"/>
              <w:rPr>
                <w:rFonts w:cstheme="minorHAnsi"/>
                <w:sz w:val="20"/>
                <w:szCs w:val="20"/>
              </w:rPr>
            </w:pPr>
            <w:r w:rsidRPr="00151C08">
              <w:rPr>
                <w:rFonts w:cstheme="minorHAnsi"/>
                <w:sz w:val="20"/>
                <w:szCs w:val="20"/>
              </w:rPr>
              <w:t>Kryterium dopuszcza do dalszej oceny operację zakładającą utworzenie nowego miejsca pracy.</w:t>
            </w:r>
          </w:p>
          <w:p w14:paraId="2AB8A8A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cstheme="minorHAnsi"/>
                <w:sz w:val="20"/>
                <w:szCs w:val="20"/>
              </w:rPr>
              <w:t>Przez utworzenie jednego miejsca pracy uważa się zatrudnienie średnio 1 osoby w wymiarze 1 etatu w okresie 1 roku w okresie związania z celem.</w:t>
            </w:r>
          </w:p>
        </w:tc>
        <w:tc>
          <w:tcPr>
            <w:tcW w:w="1000" w:type="pct"/>
            <w:tcBorders>
              <w:top w:val="nil"/>
              <w:left w:val="nil"/>
              <w:bottom w:val="single" w:sz="4" w:space="0" w:color="auto"/>
              <w:right w:val="single" w:sz="4" w:space="0" w:color="auto"/>
            </w:tcBorders>
            <w:vAlign w:val="center"/>
          </w:tcPr>
          <w:p w14:paraId="0929C0FE"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Spełnia / nie spełnia</w:t>
            </w:r>
          </w:p>
        </w:tc>
        <w:tc>
          <w:tcPr>
            <w:tcW w:w="1000" w:type="pct"/>
            <w:tcBorders>
              <w:top w:val="nil"/>
              <w:left w:val="nil"/>
              <w:bottom w:val="single" w:sz="4" w:space="0" w:color="auto"/>
              <w:right w:val="single" w:sz="4" w:space="0" w:color="auto"/>
            </w:tcBorders>
            <w:vAlign w:val="center"/>
          </w:tcPr>
          <w:p w14:paraId="21DD92F6"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w:t>
            </w:r>
          </w:p>
        </w:tc>
      </w:tr>
    </w:tbl>
    <w:p w14:paraId="751BB66D" w14:textId="77777777" w:rsidR="003919B6" w:rsidRPr="00151C08" w:rsidRDefault="003919B6" w:rsidP="003919B6">
      <w:pPr>
        <w:rPr>
          <w:rFonts w:cstheme="minorHAnsi"/>
          <w:b/>
          <w:bCs/>
        </w:rPr>
      </w:pPr>
    </w:p>
    <w:p w14:paraId="43326783" w14:textId="77777777" w:rsidR="003919B6" w:rsidRPr="00151C08" w:rsidRDefault="003919B6" w:rsidP="003919B6">
      <w:pPr>
        <w:rPr>
          <w:rFonts w:cstheme="minorHAnsi"/>
          <w:b/>
          <w:bCs/>
        </w:rPr>
      </w:pPr>
    </w:p>
    <w:p w14:paraId="7FB9E66D" w14:textId="77777777" w:rsidR="003919B6" w:rsidRPr="00151C08" w:rsidRDefault="003919B6" w:rsidP="003919B6">
      <w:pPr>
        <w:rPr>
          <w:rFonts w:cstheme="minorHAnsi"/>
          <w:b/>
          <w:bCs/>
        </w:rPr>
      </w:pPr>
    </w:p>
    <w:p w14:paraId="19C9DBA3" w14:textId="77777777" w:rsidR="003919B6" w:rsidRPr="00151C08" w:rsidRDefault="003919B6" w:rsidP="003919B6">
      <w:pPr>
        <w:rPr>
          <w:rFonts w:cstheme="minorHAnsi"/>
          <w:b/>
          <w:bCs/>
        </w:rPr>
      </w:pPr>
    </w:p>
    <w:p w14:paraId="51786D9B" w14:textId="77777777" w:rsidR="006542C3" w:rsidRDefault="006542C3">
      <w:pPr>
        <w:rPr>
          <w:rFonts w:cstheme="minorHAnsi"/>
          <w:b/>
          <w:bCs/>
        </w:rPr>
      </w:pPr>
      <w:r>
        <w:rPr>
          <w:rFonts w:cstheme="minorHAnsi"/>
          <w:b/>
          <w:bCs/>
        </w:rPr>
        <w:br w:type="page"/>
      </w:r>
    </w:p>
    <w:p w14:paraId="351170FD" w14:textId="6A1562B3" w:rsidR="003919B6" w:rsidRPr="00151C08" w:rsidRDefault="003919B6" w:rsidP="003919B6">
      <w:pPr>
        <w:rPr>
          <w:rFonts w:cstheme="minorHAnsi"/>
          <w:b/>
          <w:bCs/>
        </w:rPr>
      </w:pPr>
      <w:r w:rsidRPr="00151C08">
        <w:rPr>
          <w:rFonts w:cstheme="minorHAnsi"/>
          <w:b/>
          <w:bCs/>
        </w:rPr>
        <w:lastRenderedPageBreak/>
        <w:t>KRYTERIA PREMIUJĄCE</w:t>
      </w:r>
    </w:p>
    <w:tbl>
      <w:tblPr>
        <w:tblW w:w="5000" w:type="pct"/>
        <w:tblCellMar>
          <w:left w:w="70" w:type="dxa"/>
          <w:right w:w="70" w:type="dxa"/>
        </w:tblCellMar>
        <w:tblLook w:val="04A0" w:firstRow="1" w:lastRow="0" w:firstColumn="1" w:lastColumn="0" w:noHBand="0" w:noVBand="1"/>
      </w:tblPr>
      <w:tblGrid>
        <w:gridCol w:w="413"/>
        <w:gridCol w:w="2481"/>
        <w:gridCol w:w="5972"/>
        <w:gridCol w:w="2639"/>
        <w:gridCol w:w="2639"/>
      </w:tblGrid>
      <w:tr w:rsidR="003919B6" w:rsidRPr="00151C08" w14:paraId="0D5F5E0D" w14:textId="77777777" w:rsidTr="00102D6D">
        <w:trPr>
          <w:trHeight w:val="288"/>
        </w:trPr>
        <w:tc>
          <w:tcPr>
            <w:tcW w:w="146" w:type="pct"/>
            <w:tcBorders>
              <w:top w:val="single" w:sz="4" w:space="0" w:color="auto"/>
              <w:left w:val="single" w:sz="4" w:space="0" w:color="auto"/>
              <w:bottom w:val="single" w:sz="4" w:space="0" w:color="auto"/>
              <w:right w:val="single" w:sz="4" w:space="0" w:color="auto"/>
            </w:tcBorders>
            <w:noWrap/>
            <w:vAlign w:val="center"/>
            <w:hideMark/>
          </w:tcPr>
          <w:p w14:paraId="79286B81"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Lp.</w:t>
            </w:r>
          </w:p>
        </w:tc>
        <w:tc>
          <w:tcPr>
            <w:tcW w:w="877" w:type="pct"/>
            <w:tcBorders>
              <w:top w:val="single" w:sz="4" w:space="0" w:color="auto"/>
              <w:left w:val="nil"/>
              <w:bottom w:val="single" w:sz="4" w:space="0" w:color="auto"/>
              <w:right w:val="single" w:sz="4" w:space="0" w:color="auto"/>
            </w:tcBorders>
            <w:noWrap/>
            <w:vAlign w:val="center"/>
            <w:hideMark/>
          </w:tcPr>
          <w:p w14:paraId="1EB12CA6"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Kryterium</w:t>
            </w:r>
          </w:p>
        </w:tc>
        <w:tc>
          <w:tcPr>
            <w:tcW w:w="2111" w:type="pct"/>
            <w:tcBorders>
              <w:top w:val="single" w:sz="4" w:space="0" w:color="auto"/>
              <w:left w:val="nil"/>
              <w:bottom w:val="single" w:sz="4" w:space="0" w:color="auto"/>
              <w:right w:val="single" w:sz="4" w:space="0" w:color="auto"/>
            </w:tcBorders>
            <w:noWrap/>
            <w:vAlign w:val="center"/>
            <w:hideMark/>
          </w:tcPr>
          <w:p w14:paraId="0E0AAEA7"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Opis</w:t>
            </w:r>
          </w:p>
        </w:tc>
        <w:tc>
          <w:tcPr>
            <w:tcW w:w="933" w:type="pct"/>
            <w:tcBorders>
              <w:top w:val="single" w:sz="4" w:space="0" w:color="auto"/>
              <w:left w:val="nil"/>
              <w:bottom w:val="single" w:sz="4" w:space="0" w:color="auto"/>
              <w:right w:val="single" w:sz="4" w:space="0" w:color="auto"/>
            </w:tcBorders>
            <w:noWrap/>
            <w:vAlign w:val="center"/>
            <w:hideMark/>
          </w:tcPr>
          <w:p w14:paraId="4ADB080C"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Punktacja</w:t>
            </w:r>
          </w:p>
        </w:tc>
        <w:tc>
          <w:tcPr>
            <w:tcW w:w="933" w:type="pct"/>
            <w:tcBorders>
              <w:top w:val="single" w:sz="4" w:space="0" w:color="auto"/>
              <w:left w:val="nil"/>
              <w:bottom w:val="single" w:sz="4" w:space="0" w:color="auto"/>
              <w:right w:val="single" w:sz="4" w:space="0" w:color="auto"/>
            </w:tcBorders>
            <w:vAlign w:val="center"/>
            <w:hideMark/>
          </w:tcPr>
          <w:p w14:paraId="4FD083DC" w14:textId="77777777" w:rsidR="003919B6" w:rsidRPr="00151C08" w:rsidRDefault="003919B6" w:rsidP="00102D6D">
            <w:pPr>
              <w:spacing w:after="0" w:line="240" w:lineRule="auto"/>
              <w:rPr>
                <w:rFonts w:eastAsia="Times New Roman" w:cstheme="minorHAnsi"/>
                <w:b/>
                <w:bCs/>
                <w:color w:val="000000"/>
                <w:sz w:val="20"/>
                <w:szCs w:val="20"/>
                <w:lang w:eastAsia="pl-PL"/>
              </w:rPr>
            </w:pPr>
            <w:r w:rsidRPr="00151C08">
              <w:rPr>
                <w:rFonts w:eastAsia="Times New Roman" w:cstheme="minorHAnsi"/>
                <w:b/>
                <w:bCs/>
                <w:color w:val="000000"/>
                <w:sz w:val="20"/>
                <w:szCs w:val="20"/>
                <w:lang w:eastAsia="pl-PL"/>
              </w:rPr>
              <w:t>Źródło weryfikacji</w:t>
            </w:r>
          </w:p>
        </w:tc>
      </w:tr>
      <w:tr w:rsidR="003919B6" w:rsidRPr="00151C08" w14:paraId="0FFA5D48" w14:textId="77777777" w:rsidTr="006542C3">
        <w:trPr>
          <w:trHeight w:val="1153"/>
        </w:trPr>
        <w:tc>
          <w:tcPr>
            <w:tcW w:w="146" w:type="pct"/>
            <w:tcBorders>
              <w:top w:val="nil"/>
              <w:left w:val="single" w:sz="4" w:space="0" w:color="auto"/>
              <w:bottom w:val="single" w:sz="4" w:space="0" w:color="auto"/>
              <w:right w:val="single" w:sz="4" w:space="0" w:color="auto"/>
            </w:tcBorders>
            <w:noWrap/>
            <w:vAlign w:val="center"/>
            <w:hideMark/>
          </w:tcPr>
          <w:p w14:paraId="1EA7C502"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1.</w:t>
            </w:r>
          </w:p>
        </w:tc>
        <w:tc>
          <w:tcPr>
            <w:tcW w:w="877" w:type="pct"/>
            <w:tcBorders>
              <w:top w:val="nil"/>
              <w:left w:val="nil"/>
              <w:bottom w:val="single" w:sz="4" w:space="0" w:color="auto"/>
              <w:right w:val="single" w:sz="4" w:space="0" w:color="auto"/>
            </w:tcBorders>
            <w:vAlign w:val="center"/>
            <w:hideMark/>
          </w:tcPr>
          <w:p w14:paraId="253D9E9E"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Doradztwo indywidualne</w:t>
            </w:r>
          </w:p>
        </w:tc>
        <w:tc>
          <w:tcPr>
            <w:tcW w:w="2111" w:type="pct"/>
            <w:tcBorders>
              <w:top w:val="nil"/>
              <w:left w:val="nil"/>
              <w:bottom w:val="single" w:sz="4" w:space="0" w:color="auto"/>
              <w:right w:val="single" w:sz="4" w:space="0" w:color="auto"/>
            </w:tcBorders>
            <w:vAlign w:val="center"/>
            <w:hideMark/>
          </w:tcPr>
          <w:p w14:paraId="47FAD26A" w14:textId="70DF470A"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Kryterium premiuje operację Wnioskodawcy, który uczestniczył w indywidualnych konsultacjach wniosku w siedzibie LGD </w:t>
            </w:r>
            <w:r w:rsidR="006542C3" w:rsidRPr="006542C3">
              <w:rPr>
                <w:rFonts w:eastAsia="Times New Roman" w:cstheme="minorHAnsi"/>
                <w:color w:val="000000"/>
                <w:sz w:val="20"/>
                <w:szCs w:val="20"/>
                <w:lang w:eastAsia="pl-PL"/>
              </w:rPr>
              <w:t>w okresie trwania naboru tj. w terminie składania wniosków o przyznanie pomocy, wskazanym w regulaminie naboru.</w:t>
            </w:r>
          </w:p>
        </w:tc>
        <w:tc>
          <w:tcPr>
            <w:tcW w:w="933" w:type="pct"/>
            <w:tcBorders>
              <w:top w:val="nil"/>
              <w:left w:val="nil"/>
              <w:bottom w:val="single" w:sz="4" w:space="0" w:color="auto"/>
              <w:right w:val="single" w:sz="4" w:space="0" w:color="auto"/>
            </w:tcBorders>
            <w:vAlign w:val="center"/>
            <w:hideMark/>
          </w:tcPr>
          <w:p w14:paraId="7C66FD21" w14:textId="4B5946B1"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skorzystał z doradztwa indywidualnego</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nie skorzystał z doradztwa indywidualnego</w:t>
            </w:r>
          </w:p>
        </w:tc>
        <w:tc>
          <w:tcPr>
            <w:tcW w:w="933" w:type="pct"/>
            <w:tcBorders>
              <w:top w:val="nil"/>
              <w:left w:val="nil"/>
              <w:bottom w:val="single" w:sz="4" w:space="0" w:color="auto"/>
              <w:right w:val="single" w:sz="4" w:space="0" w:color="auto"/>
            </w:tcBorders>
            <w:vAlign w:val="center"/>
            <w:hideMark/>
          </w:tcPr>
          <w:p w14:paraId="1609C5EA"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rejestru doradztwa.</w:t>
            </w:r>
          </w:p>
        </w:tc>
      </w:tr>
      <w:tr w:rsidR="003919B6" w:rsidRPr="00151C08" w14:paraId="19629BC3" w14:textId="77777777" w:rsidTr="00102D6D">
        <w:trPr>
          <w:trHeight w:val="3036"/>
        </w:trPr>
        <w:tc>
          <w:tcPr>
            <w:tcW w:w="146" w:type="pct"/>
            <w:tcBorders>
              <w:top w:val="nil"/>
              <w:left w:val="single" w:sz="4" w:space="0" w:color="auto"/>
              <w:bottom w:val="single" w:sz="4" w:space="0" w:color="auto"/>
              <w:right w:val="single" w:sz="4" w:space="0" w:color="auto"/>
            </w:tcBorders>
            <w:noWrap/>
            <w:vAlign w:val="center"/>
            <w:hideMark/>
          </w:tcPr>
          <w:p w14:paraId="0238B4A9" w14:textId="2702ACB2"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2</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54776241" w14:textId="5EB2E3F4"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Racjonalność </w:t>
            </w:r>
            <w:r w:rsidR="006542C3">
              <w:rPr>
                <w:rFonts w:eastAsia="Times New Roman" w:cstheme="minorHAnsi"/>
                <w:color w:val="000000"/>
                <w:sz w:val="20"/>
                <w:szCs w:val="20"/>
                <w:lang w:eastAsia="pl-PL"/>
              </w:rPr>
              <w:t>operacji</w:t>
            </w:r>
          </w:p>
        </w:tc>
        <w:tc>
          <w:tcPr>
            <w:tcW w:w="2111" w:type="pct"/>
            <w:tcBorders>
              <w:top w:val="nil"/>
              <w:left w:val="nil"/>
              <w:bottom w:val="single" w:sz="4" w:space="0" w:color="auto"/>
              <w:right w:val="single" w:sz="4" w:space="0" w:color="auto"/>
            </w:tcBorders>
            <w:vAlign w:val="center"/>
            <w:hideMark/>
          </w:tcPr>
          <w:p w14:paraId="03012D90" w14:textId="4128D6AD" w:rsidR="003919B6" w:rsidRPr="00151C08" w:rsidRDefault="006542C3" w:rsidP="00102D6D">
            <w:pPr>
              <w:spacing w:after="0" w:line="240" w:lineRule="auto"/>
              <w:rPr>
                <w:rFonts w:eastAsia="Times New Roman" w:cstheme="minorHAnsi"/>
                <w:color w:val="000000"/>
                <w:sz w:val="20"/>
                <w:szCs w:val="20"/>
                <w:lang w:eastAsia="pl-PL"/>
              </w:rPr>
            </w:pPr>
            <w:r w:rsidRPr="006542C3">
              <w:rPr>
                <w:rFonts w:eastAsia="Times New Roman" w:cstheme="minorHAnsi"/>
                <w:color w:val="000000"/>
                <w:sz w:val="20"/>
                <w:szCs w:val="20"/>
                <w:lang w:eastAsia="pl-PL"/>
              </w:rPr>
              <w:t>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lub kosztorys inwestorski (w przypadku robót budowlanych)</w:t>
            </w:r>
          </w:p>
        </w:tc>
        <w:tc>
          <w:tcPr>
            <w:tcW w:w="933" w:type="pct"/>
            <w:tcBorders>
              <w:top w:val="nil"/>
              <w:left w:val="nil"/>
              <w:bottom w:val="single" w:sz="4" w:space="0" w:color="auto"/>
              <w:right w:val="single" w:sz="4" w:space="0" w:color="auto"/>
            </w:tcBorders>
            <w:vAlign w:val="center"/>
            <w:hideMark/>
          </w:tcPr>
          <w:p w14:paraId="5F3D9E8A" w14:textId="616AF4A9"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006542C3">
              <w:rPr>
                <w:rFonts w:eastAsia="Times New Roman" w:cstheme="minorHAnsi"/>
                <w:b/>
                <w:bCs/>
                <w:color w:val="000000"/>
                <w:sz w:val="20"/>
                <w:szCs w:val="20"/>
                <w:lang w:eastAsia="pl-PL"/>
              </w:rPr>
              <w:t>2</w:t>
            </w:r>
            <w:r w:rsidRPr="00151C08">
              <w:rPr>
                <w:rFonts w:eastAsia="Times New Roman" w:cstheme="minorHAnsi"/>
                <w:b/>
                <w:bCs/>
                <w:color w:val="000000"/>
                <w:sz w:val="20"/>
                <w:szCs w:val="20"/>
                <w:lang w:eastAsia="pl-PL"/>
              </w:rPr>
              <w:t xml:space="preserve"> pkt</w:t>
            </w:r>
            <w:r w:rsidRPr="00151C08">
              <w:rPr>
                <w:rFonts w:eastAsia="Times New Roman" w:cstheme="minorHAnsi"/>
                <w:color w:val="000000"/>
                <w:sz w:val="20"/>
                <w:szCs w:val="20"/>
                <w:lang w:eastAsia="pl-PL"/>
              </w:rPr>
              <w:t xml:space="preserve">  - jeśli </w:t>
            </w:r>
            <w:r w:rsidR="006542C3" w:rsidRPr="00BC50E3">
              <w:rPr>
                <w:rFonts w:cstheme="minorHAnsi"/>
                <w:sz w:val="20"/>
                <w:szCs w:val="20"/>
              </w:rPr>
              <w:t>wyjaśnił zasadność wszystkich wydatków ponoszonych w ramach operacji oraz wiarygodnie udokumentował ich wysokość</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w:t>
            </w:r>
            <w:r w:rsidR="006542C3" w:rsidRPr="00BC50E3">
              <w:rPr>
                <w:rFonts w:cstheme="minorHAnsi"/>
                <w:sz w:val="20"/>
                <w:szCs w:val="20"/>
              </w:rPr>
              <w:t>nie uzasadnił lub niewystarczająco uzasadnił konieczności  poniesienia poszczególnych wydatków zaplanowanych w ramach wniosku o  dofinansowanie</w:t>
            </w:r>
          </w:p>
        </w:tc>
        <w:tc>
          <w:tcPr>
            <w:tcW w:w="933" w:type="pct"/>
            <w:tcBorders>
              <w:top w:val="nil"/>
              <w:left w:val="nil"/>
              <w:bottom w:val="single" w:sz="4" w:space="0" w:color="auto"/>
              <w:right w:val="single" w:sz="4" w:space="0" w:color="auto"/>
            </w:tcBorders>
            <w:vAlign w:val="center"/>
            <w:hideMark/>
          </w:tcPr>
          <w:p w14:paraId="59F7FAEF"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Weryfikowane na podstawie danych zawartych we wniosku o dofinansowanie i załącznikach do wniosku. </w:t>
            </w:r>
          </w:p>
        </w:tc>
      </w:tr>
      <w:tr w:rsidR="003919B6" w:rsidRPr="00151C08" w14:paraId="10E63071" w14:textId="77777777" w:rsidTr="00102D6D">
        <w:trPr>
          <w:trHeight w:val="1440"/>
        </w:trPr>
        <w:tc>
          <w:tcPr>
            <w:tcW w:w="146" w:type="pct"/>
            <w:tcBorders>
              <w:top w:val="nil"/>
              <w:left w:val="single" w:sz="4" w:space="0" w:color="auto"/>
              <w:bottom w:val="single" w:sz="4" w:space="0" w:color="auto"/>
              <w:right w:val="single" w:sz="4" w:space="0" w:color="auto"/>
            </w:tcBorders>
            <w:noWrap/>
            <w:vAlign w:val="center"/>
            <w:hideMark/>
          </w:tcPr>
          <w:p w14:paraId="76FE41C2" w14:textId="41756311"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3</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132D98FB"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Wnioskowana kwota wsparcia</w:t>
            </w:r>
          </w:p>
        </w:tc>
        <w:tc>
          <w:tcPr>
            <w:tcW w:w="2111" w:type="pct"/>
            <w:tcBorders>
              <w:top w:val="nil"/>
              <w:left w:val="nil"/>
              <w:bottom w:val="single" w:sz="4" w:space="0" w:color="auto"/>
              <w:right w:val="single" w:sz="4" w:space="0" w:color="auto"/>
            </w:tcBorders>
            <w:vAlign w:val="center"/>
            <w:hideMark/>
          </w:tcPr>
          <w:p w14:paraId="57527F1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Kryterium premiuje operację, jeśli wnioskowana kwota wsparcia* operacji objętej wnioskiem w mniejszym stopniu wykorzystuje alokację środków dla danego działania.</w:t>
            </w:r>
          </w:p>
          <w:p w14:paraId="12E19DA0" w14:textId="7DACC1E8"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*Wnioskowana kwota wsparcia zawiera się w przedziale od 50.000 zł do </w:t>
            </w:r>
            <w:r w:rsidR="00683932">
              <w:rPr>
                <w:rFonts w:eastAsia="Times New Roman" w:cstheme="minorHAnsi"/>
                <w:color w:val="000000"/>
                <w:sz w:val="20"/>
                <w:szCs w:val="20"/>
                <w:lang w:eastAsia="pl-PL"/>
              </w:rPr>
              <w:t>135</w:t>
            </w:r>
            <w:r w:rsidRPr="00151C08">
              <w:rPr>
                <w:rFonts w:eastAsia="Times New Roman" w:cstheme="minorHAnsi"/>
                <w:color w:val="000000"/>
                <w:sz w:val="20"/>
                <w:szCs w:val="20"/>
                <w:lang w:eastAsia="pl-PL"/>
              </w:rPr>
              <w:t>.000 zł.</w:t>
            </w:r>
          </w:p>
        </w:tc>
        <w:tc>
          <w:tcPr>
            <w:tcW w:w="933" w:type="pct"/>
            <w:tcBorders>
              <w:top w:val="nil"/>
              <w:left w:val="nil"/>
              <w:bottom w:val="single" w:sz="4" w:space="0" w:color="auto"/>
              <w:right w:val="single" w:sz="4" w:space="0" w:color="auto"/>
            </w:tcBorders>
            <w:vAlign w:val="center"/>
            <w:hideMark/>
          </w:tcPr>
          <w:p w14:paraId="7468AC8F" w14:textId="06C94B1F"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wnioskowana kwota wsparcia jest mniejsza lub równa </w:t>
            </w:r>
            <w:r w:rsidR="00683932">
              <w:rPr>
                <w:rFonts w:eastAsia="Times New Roman" w:cstheme="minorHAnsi"/>
                <w:color w:val="000000"/>
                <w:sz w:val="20"/>
                <w:szCs w:val="20"/>
                <w:lang w:eastAsia="pl-PL"/>
              </w:rPr>
              <w:t>67</w:t>
            </w:r>
            <w:r w:rsidRPr="00151C08">
              <w:rPr>
                <w:rFonts w:eastAsia="Times New Roman" w:cstheme="minorHAnsi"/>
                <w:color w:val="000000"/>
                <w:sz w:val="20"/>
                <w:szCs w:val="20"/>
                <w:lang w:eastAsia="pl-PL"/>
              </w:rPr>
              <w:t>.000 zł</w:t>
            </w:r>
            <w:r w:rsidRPr="00151C08">
              <w:rPr>
                <w:rFonts w:eastAsia="Times New Roman" w:cstheme="minorHAnsi"/>
                <w:color w:val="000000"/>
                <w:sz w:val="20"/>
                <w:szCs w:val="20"/>
                <w:lang w:eastAsia="pl-PL"/>
              </w:rPr>
              <w:br/>
            </w:r>
            <w:r w:rsidR="00683932">
              <w:rPr>
                <w:rFonts w:eastAsia="Times New Roman" w:cstheme="minorHAnsi"/>
                <w:b/>
                <w:bCs/>
                <w:color w:val="000000"/>
                <w:sz w:val="20"/>
                <w:szCs w:val="20"/>
                <w:lang w:eastAsia="pl-PL"/>
              </w:rPr>
              <w:t>0</w:t>
            </w:r>
            <w:r w:rsidRPr="00151C08">
              <w:rPr>
                <w:rFonts w:eastAsia="Times New Roman" w:cstheme="minorHAnsi"/>
                <w:b/>
                <w:bCs/>
                <w:color w:val="000000"/>
                <w:sz w:val="20"/>
                <w:szCs w:val="20"/>
                <w:lang w:eastAsia="pl-PL"/>
              </w:rPr>
              <w:t xml:space="preserve"> pkt</w:t>
            </w:r>
            <w:r w:rsidRPr="00151C08">
              <w:rPr>
                <w:rFonts w:eastAsia="Times New Roman" w:cstheme="minorHAnsi"/>
                <w:color w:val="000000"/>
                <w:sz w:val="20"/>
                <w:szCs w:val="20"/>
                <w:lang w:eastAsia="pl-PL"/>
              </w:rPr>
              <w:t xml:space="preserve"> - jeśli wnioskowana kwota wsparcia jest większa niż </w:t>
            </w:r>
            <w:r w:rsidR="00683932">
              <w:rPr>
                <w:rFonts w:eastAsia="Times New Roman" w:cstheme="minorHAnsi"/>
                <w:color w:val="000000"/>
                <w:sz w:val="20"/>
                <w:szCs w:val="20"/>
                <w:lang w:eastAsia="pl-PL"/>
              </w:rPr>
              <w:t>67</w:t>
            </w:r>
            <w:r w:rsidRPr="00151C08">
              <w:rPr>
                <w:rFonts w:eastAsia="Times New Roman" w:cstheme="minorHAnsi"/>
                <w:color w:val="000000"/>
                <w:sz w:val="20"/>
                <w:szCs w:val="20"/>
                <w:lang w:eastAsia="pl-PL"/>
              </w:rPr>
              <w:t>.000 zł</w:t>
            </w:r>
          </w:p>
        </w:tc>
        <w:tc>
          <w:tcPr>
            <w:tcW w:w="933" w:type="pct"/>
            <w:tcBorders>
              <w:top w:val="nil"/>
              <w:left w:val="nil"/>
              <w:bottom w:val="single" w:sz="4" w:space="0" w:color="auto"/>
              <w:right w:val="single" w:sz="4" w:space="0" w:color="auto"/>
            </w:tcBorders>
            <w:vAlign w:val="center"/>
            <w:hideMark/>
          </w:tcPr>
          <w:p w14:paraId="6EB0D4F2"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Weryfikowane na podstawie danych zawartych we wniosku o dofinansowanie i załącznikach do wniosku. </w:t>
            </w:r>
          </w:p>
        </w:tc>
      </w:tr>
      <w:tr w:rsidR="003919B6" w:rsidRPr="00151C08" w14:paraId="27478546" w14:textId="77777777" w:rsidTr="00102D6D">
        <w:trPr>
          <w:trHeight w:val="1764"/>
        </w:trPr>
        <w:tc>
          <w:tcPr>
            <w:tcW w:w="146" w:type="pct"/>
            <w:tcBorders>
              <w:top w:val="nil"/>
              <w:left w:val="single" w:sz="4" w:space="0" w:color="auto"/>
              <w:bottom w:val="single" w:sz="4" w:space="0" w:color="auto"/>
              <w:right w:val="single" w:sz="4" w:space="0" w:color="auto"/>
            </w:tcBorders>
            <w:noWrap/>
            <w:vAlign w:val="center"/>
            <w:hideMark/>
          </w:tcPr>
          <w:p w14:paraId="69DD2183" w14:textId="232569FC"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4</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635B7CD9"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Wykorzystanie lokalnych potencjałów</w:t>
            </w:r>
          </w:p>
        </w:tc>
        <w:tc>
          <w:tcPr>
            <w:tcW w:w="2111" w:type="pct"/>
            <w:tcBorders>
              <w:top w:val="nil"/>
              <w:left w:val="nil"/>
              <w:bottom w:val="single" w:sz="4" w:space="0" w:color="auto"/>
              <w:right w:val="single" w:sz="4" w:space="0" w:color="auto"/>
            </w:tcBorders>
            <w:vAlign w:val="center"/>
            <w:hideMark/>
          </w:tcPr>
          <w:p w14:paraId="47D17E01"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Kryterium premiuje operację, która wykorzystuje lokalne potencjały dziedzictwa przyrodniczego, kulturowego i historycznego, w szczególności opisane w LSR. Uznaje się wykorzystanie lokalnego potencjału w operacji, jeśli Wnioskodawca opisze dany potencjał, w tym jego związek z obszarem objętym LSR, a także uzasadni pozytywny wpływ wykorzystania potencjału na operację lub  pozytywny wpływ operacji na potencjał.</w:t>
            </w:r>
          </w:p>
        </w:tc>
        <w:tc>
          <w:tcPr>
            <w:tcW w:w="933" w:type="pct"/>
            <w:tcBorders>
              <w:top w:val="nil"/>
              <w:left w:val="nil"/>
              <w:bottom w:val="single" w:sz="4" w:space="0" w:color="auto"/>
              <w:right w:val="single" w:sz="4" w:space="0" w:color="auto"/>
            </w:tcBorders>
            <w:vAlign w:val="center"/>
            <w:hideMark/>
          </w:tcPr>
          <w:p w14:paraId="4ADBB8CA"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operacja wykorzystuje więcej niż 1 lokalny potencjał</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operacja wykorzystuje 1 lokalny potencjał</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operacja nie wykorzystuje żadnego lokalnego potencjału</w:t>
            </w:r>
          </w:p>
        </w:tc>
        <w:tc>
          <w:tcPr>
            <w:tcW w:w="933" w:type="pct"/>
            <w:tcBorders>
              <w:top w:val="nil"/>
              <w:left w:val="nil"/>
              <w:bottom w:val="single" w:sz="4" w:space="0" w:color="auto"/>
              <w:right w:val="single" w:sz="4" w:space="0" w:color="auto"/>
            </w:tcBorders>
            <w:vAlign w:val="center"/>
            <w:hideMark/>
          </w:tcPr>
          <w:p w14:paraId="6A4D01B6"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Weryfikowane na podstawie danych zawartych we wniosku o dofinansowanie i załącznikach do wniosku. </w:t>
            </w:r>
          </w:p>
        </w:tc>
      </w:tr>
      <w:tr w:rsidR="003919B6" w:rsidRPr="00151C08" w14:paraId="1C9D9D52" w14:textId="77777777" w:rsidTr="00102D6D">
        <w:trPr>
          <w:trHeight w:val="3456"/>
        </w:trPr>
        <w:tc>
          <w:tcPr>
            <w:tcW w:w="146" w:type="pct"/>
            <w:tcBorders>
              <w:top w:val="nil"/>
              <w:left w:val="single" w:sz="4" w:space="0" w:color="auto"/>
              <w:bottom w:val="single" w:sz="4" w:space="0" w:color="auto"/>
              <w:right w:val="single" w:sz="4" w:space="0" w:color="auto"/>
            </w:tcBorders>
            <w:noWrap/>
            <w:vAlign w:val="center"/>
            <w:hideMark/>
          </w:tcPr>
          <w:p w14:paraId="7DD0A651" w14:textId="08C33A6A" w:rsidR="003919B6" w:rsidRPr="00151C08" w:rsidRDefault="00FB0724"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5</w:t>
            </w:r>
            <w:r w:rsidR="003919B6"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4889741A"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Wsparcie grup w niekorzystnej sytuacji - grupa docelowa   </w:t>
            </w:r>
          </w:p>
        </w:tc>
        <w:tc>
          <w:tcPr>
            <w:tcW w:w="2111" w:type="pct"/>
            <w:tcBorders>
              <w:top w:val="nil"/>
              <w:left w:val="nil"/>
              <w:bottom w:val="single" w:sz="4" w:space="0" w:color="auto"/>
              <w:right w:val="single" w:sz="4" w:space="0" w:color="auto"/>
            </w:tcBorders>
            <w:vAlign w:val="center"/>
            <w:hideMark/>
          </w:tcPr>
          <w:p w14:paraId="5C37DAE4"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Kryterium premiuje operację, której efektem jest sprofilowana oferta skierowana do grup w niekorzystnej sytuacji zdefiniowanych w LSR jako:</w:t>
            </w:r>
            <w:r w:rsidRPr="00151C08">
              <w:rPr>
                <w:rFonts w:eastAsia="Times New Roman" w:cstheme="minorHAnsi"/>
                <w:color w:val="000000"/>
                <w:sz w:val="20"/>
                <w:szCs w:val="20"/>
                <w:lang w:eastAsia="pl-PL"/>
              </w:rPr>
              <w:br/>
              <w:t>• Seniorzy – osoby po 60 roku życia lub</w:t>
            </w:r>
            <w:r w:rsidRPr="00151C08">
              <w:rPr>
                <w:rFonts w:eastAsia="Times New Roman" w:cstheme="minorHAnsi"/>
                <w:color w:val="000000"/>
                <w:sz w:val="20"/>
                <w:szCs w:val="20"/>
                <w:lang w:eastAsia="pl-PL"/>
              </w:rPr>
              <w:br/>
              <w:t>• Opiekunowie faktyczni (nieformalni) – osoby pełnoletnie opiekujące się osobą potrzebującą wsparcia w codziennym funkcjonowaniu, niebędące opiekunami zawodowymi i niepobierające wynagrodzenia z tytułu sprawowania takiej opieki, najczęściej członkowie rodziny lub</w:t>
            </w:r>
            <w:r w:rsidRPr="00151C08">
              <w:rPr>
                <w:rFonts w:eastAsia="Times New Roman" w:cstheme="minorHAnsi"/>
                <w:color w:val="000000"/>
                <w:sz w:val="20"/>
                <w:szCs w:val="20"/>
                <w:lang w:eastAsia="pl-PL"/>
              </w:rPr>
              <w:br/>
              <w:t>• Osoby młode do 25 roku życia.</w:t>
            </w:r>
            <w:r w:rsidRPr="00151C08">
              <w:rPr>
                <w:rFonts w:eastAsia="Times New Roman" w:cstheme="minorHAnsi"/>
                <w:color w:val="000000"/>
                <w:sz w:val="20"/>
                <w:szCs w:val="20"/>
                <w:lang w:eastAsia="pl-PL"/>
              </w:rPr>
              <w:br/>
            </w:r>
            <w:r w:rsidRPr="00151C08">
              <w:rPr>
                <w:rFonts w:eastAsia="Times New Roman" w:cstheme="minorHAnsi"/>
                <w:color w:val="000000"/>
                <w:sz w:val="20"/>
                <w:szCs w:val="20"/>
                <w:lang w:eastAsia="pl-PL"/>
              </w:rPr>
              <w:br/>
              <w:t>Ofertę uznaje się za sprofilowaną dla danej grupy, jeśli Wnioskodawca wykaże jakie konkretne i specyficzne (właściwe dla tej grupy, niepowszechne) potrzeby tej grupy spełnia i w jaki sposób.</w:t>
            </w:r>
            <w:r w:rsidRPr="00151C08" w:rsidDel="007A7607">
              <w:rPr>
                <w:rFonts w:eastAsia="Times New Roman" w:cstheme="minorHAnsi"/>
                <w:color w:val="000000"/>
                <w:sz w:val="20"/>
                <w:szCs w:val="20"/>
                <w:lang w:eastAsia="pl-PL"/>
              </w:rPr>
              <w:t xml:space="preserve"> </w:t>
            </w:r>
          </w:p>
        </w:tc>
        <w:tc>
          <w:tcPr>
            <w:tcW w:w="933" w:type="pct"/>
            <w:tcBorders>
              <w:top w:val="nil"/>
              <w:left w:val="nil"/>
              <w:bottom w:val="single" w:sz="4" w:space="0" w:color="auto"/>
              <w:right w:val="single" w:sz="4" w:space="0" w:color="auto"/>
            </w:tcBorders>
            <w:vAlign w:val="center"/>
            <w:hideMark/>
          </w:tcPr>
          <w:p w14:paraId="65D547AD"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efektem operacji jest oferta sprofilowana dla więcej niż jednej grupy w niekorzystnej sytuacji</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 xml:space="preserve">1 pkt </w:t>
            </w:r>
            <w:r w:rsidRPr="00151C08">
              <w:rPr>
                <w:rFonts w:eastAsia="Times New Roman" w:cstheme="minorHAnsi"/>
                <w:color w:val="000000"/>
                <w:sz w:val="20"/>
                <w:szCs w:val="20"/>
                <w:lang w:eastAsia="pl-PL"/>
              </w:rPr>
              <w:t>- jeśli efektem operacji jest oferta sprofilowana dla jednej grupy w niekorzystnej sytuacji</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efektem operacji nie jest żadna oferta sprofilowana dla którejkolwiek z grup w niekorzystnej sytuacji</w:t>
            </w:r>
          </w:p>
        </w:tc>
        <w:tc>
          <w:tcPr>
            <w:tcW w:w="933" w:type="pct"/>
            <w:tcBorders>
              <w:top w:val="nil"/>
              <w:left w:val="nil"/>
              <w:bottom w:val="single" w:sz="4" w:space="0" w:color="auto"/>
              <w:right w:val="single" w:sz="4" w:space="0" w:color="auto"/>
            </w:tcBorders>
            <w:vAlign w:val="center"/>
            <w:hideMark/>
          </w:tcPr>
          <w:p w14:paraId="422B9270" w14:textId="77777777" w:rsidR="003919B6" w:rsidRPr="00151C08" w:rsidRDefault="003919B6" w:rsidP="00102D6D">
            <w:pPr>
              <w:spacing w:after="0" w:line="240" w:lineRule="auto"/>
              <w:rPr>
                <w:rFonts w:eastAsia="Times New Roman" w:cstheme="minorHAnsi"/>
                <w:color w:val="000000"/>
                <w:sz w:val="20"/>
                <w:szCs w:val="20"/>
                <w:lang w:eastAsia="pl-PL"/>
              </w:rPr>
            </w:pPr>
            <w:r w:rsidRPr="00151C08">
              <w:rPr>
                <w:rFonts w:eastAsia="Times New Roman" w:cstheme="minorHAnsi"/>
                <w:color w:val="000000"/>
                <w:sz w:val="20"/>
                <w:szCs w:val="20"/>
                <w:lang w:eastAsia="pl-PL"/>
              </w:rPr>
              <w:t>Weryfikowane na podstawie danych zawartych we wniosku o dofinansowanie i załącznikach do wniosku</w:t>
            </w:r>
          </w:p>
        </w:tc>
      </w:tr>
      <w:tr w:rsidR="00FB0724" w:rsidRPr="00151C08" w14:paraId="47494CCA" w14:textId="77777777" w:rsidTr="007F4C3E">
        <w:trPr>
          <w:trHeight w:val="109"/>
        </w:trPr>
        <w:tc>
          <w:tcPr>
            <w:tcW w:w="146" w:type="pct"/>
            <w:tcBorders>
              <w:top w:val="nil"/>
              <w:left w:val="single" w:sz="4" w:space="0" w:color="auto"/>
              <w:bottom w:val="single" w:sz="4" w:space="0" w:color="auto"/>
              <w:right w:val="single" w:sz="4" w:space="0" w:color="auto"/>
            </w:tcBorders>
            <w:noWrap/>
            <w:vAlign w:val="center"/>
            <w:hideMark/>
          </w:tcPr>
          <w:p w14:paraId="699E859A" w14:textId="36221143" w:rsidR="00FB0724" w:rsidRPr="00151C08" w:rsidRDefault="006542C3" w:rsidP="007F4C3E">
            <w:pPr>
              <w:rPr>
                <w:rFonts w:eastAsia="Times New Roman" w:cstheme="minorHAnsi"/>
                <w:color w:val="000000"/>
                <w:sz w:val="20"/>
                <w:szCs w:val="20"/>
                <w:lang w:eastAsia="pl-PL"/>
              </w:rPr>
            </w:pPr>
            <w:r>
              <w:rPr>
                <w:rFonts w:eastAsia="Times New Roman" w:cstheme="minorHAnsi"/>
                <w:color w:val="000000"/>
                <w:sz w:val="20"/>
                <w:szCs w:val="20"/>
                <w:lang w:eastAsia="pl-PL"/>
              </w:rPr>
              <w:t>6</w:t>
            </w:r>
            <w:r w:rsidR="00FB0724" w:rsidRPr="00151C08">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01784DC6" w14:textId="77777777" w:rsidR="00FB0724" w:rsidRPr="00151C08" w:rsidRDefault="00FB0724" w:rsidP="007F4C3E">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t xml:space="preserve">Innowacyjność operacji </w:t>
            </w:r>
          </w:p>
        </w:tc>
        <w:tc>
          <w:tcPr>
            <w:tcW w:w="2111" w:type="pct"/>
            <w:tcBorders>
              <w:top w:val="nil"/>
              <w:left w:val="nil"/>
              <w:bottom w:val="single" w:sz="4" w:space="0" w:color="auto"/>
              <w:right w:val="single" w:sz="4" w:space="0" w:color="auto"/>
            </w:tcBorders>
            <w:vAlign w:val="center"/>
            <w:hideMark/>
          </w:tcPr>
          <w:p w14:paraId="7F4C5CD3" w14:textId="77777777" w:rsidR="00FB0724" w:rsidRPr="00151C08" w:rsidRDefault="00FB0724" w:rsidP="007F4C3E">
            <w:pPr>
              <w:rPr>
                <w:rFonts w:cstheme="minorHAnsi"/>
                <w:sz w:val="20"/>
                <w:szCs w:val="20"/>
              </w:rPr>
            </w:pPr>
            <w:r w:rsidRPr="00151C08">
              <w:rPr>
                <w:rFonts w:cstheme="minorHAnsi"/>
                <w:sz w:val="20"/>
                <w:szCs w:val="20"/>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p>
          <w:p w14:paraId="2F91F7D3" w14:textId="77777777" w:rsidR="00FB0724" w:rsidRPr="00151C08" w:rsidRDefault="00FB0724" w:rsidP="007F4C3E">
            <w:pPr>
              <w:rPr>
                <w:rFonts w:cstheme="minorHAnsi"/>
                <w:sz w:val="20"/>
                <w:szCs w:val="20"/>
              </w:rPr>
            </w:pPr>
            <w:r w:rsidRPr="00151C08">
              <w:rPr>
                <w:rFonts w:cstheme="minorHAnsi"/>
                <w:sz w:val="20"/>
                <w:szCs w:val="20"/>
              </w:rPr>
              <w:t>W ramach kryterium wyboru premiowane będą operacje innowacyjne wg stopnia oryginalności zmian:</w:t>
            </w:r>
          </w:p>
          <w:p w14:paraId="0DDD31B2" w14:textId="77777777" w:rsidR="00FB0724" w:rsidRPr="00151C08" w:rsidRDefault="00FB0724" w:rsidP="007F4C3E">
            <w:pPr>
              <w:pStyle w:val="Akapitzlist"/>
              <w:numPr>
                <w:ilvl w:val="0"/>
                <w:numId w:val="3"/>
              </w:numPr>
              <w:spacing w:after="0" w:line="276" w:lineRule="auto"/>
              <w:jc w:val="both"/>
              <w:rPr>
                <w:rFonts w:cstheme="minorHAnsi"/>
                <w:kern w:val="0"/>
                <w:sz w:val="20"/>
                <w:szCs w:val="20"/>
                <w14:ligatures w14:val="none"/>
              </w:rPr>
            </w:pPr>
            <w:r w:rsidRPr="00151C08">
              <w:rPr>
                <w:rFonts w:cstheme="minorHAnsi"/>
                <w:kern w:val="0"/>
                <w:sz w:val="20"/>
                <w:szCs w:val="20"/>
                <w14:ligatures w14:val="none"/>
              </w:rPr>
              <w:lastRenderedPageBreak/>
              <w:t>Kreatywne – powstają w wyniku autorskiego pomysłu, dotyczą nowych produktów, usług, procesów lub organizacji.</w:t>
            </w:r>
          </w:p>
          <w:p w14:paraId="79C83D8C" w14:textId="77777777" w:rsidR="00FB0724" w:rsidRPr="00151C08" w:rsidRDefault="00FB0724" w:rsidP="007F4C3E">
            <w:pPr>
              <w:pStyle w:val="Akapitzlist"/>
              <w:numPr>
                <w:ilvl w:val="0"/>
                <w:numId w:val="3"/>
              </w:numPr>
              <w:spacing w:after="0" w:line="276" w:lineRule="auto"/>
              <w:jc w:val="both"/>
              <w:rPr>
                <w:rFonts w:cstheme="minorHAnsi"/>
                <w:kern w:val="0"/>
                <w:sz w:val="20"/>
                <w:szCs w:val="20"/>
                <w14:ligatures w14:val="none"/>
              </w:rPr>
            </w:pPr>
            <w:r w:rsidRPr="00151C08">
              <w:rPr>
                <w:rFonts w:cstheme="minorHAnsi"/>
                <w:kern w:val="0"/>
                <w:sz w:val="20"/>
                <w:szCs w:val="20"/>
                <w14:ligatures w14:val="none"/>
              </w:rPr>
              <w:t>Imitujące  – wzorowane na wcześniej powstałych produktach, usługach, procesach lub organizacji. Dotyczące nowego sposobu wykorzystania lub zmobilizowania istniejących lokalnych zasobów przyrodniczych, historycznych, kulturowych czy społecznych.</w:t>
            </w:r>
          </w:p>
          <w:p w14:paraId="11EE136E" w14:textId="77777777" w:rsidR="00FB0724" w:rsidRPr="00151C08" w:rsidRDefault="00FB0724" w:rsidP="007F4C3E">
            <w:pPr>
              <w:pStyle w:val="Akapitzlist"/>
              <w:numPr>
                <w:ilvl w:val="0"/>
                <w:numId w:val="3"/>
              </w:numPr>
              <w:spacing w:after="0" w:line="276" w:lineRule="auto"/>
              <w:jc w:val="both"/>
              <w:rPr>
                <w:rFonts w:cstheme="minorHAnsi"/>
                <w:kern w:val="0"/>
                <w:sz w:val="20"/>
                <w:szCs w:val="20"/>
                <w14:ligatures w14:val="none"/>
              </w:rPr>
            </w:pPr>
            <w:r w:rsidRPr="00151C08">
              <w:rPr>
                <w:rFonts w:cstheme="minorHAnsi"/>
                <w:kern w:val="0"/>
                <w:sz w:val="20"/>
                <w:szCs w:val="20"/>
                <w14:ligatures w14:val="none"/>
              </w:rPr>
              <w:t>Pozorne – w rzeczywistości nie są to innowacje w skali LSR. Są to jedynie drobne zmiany oferujące rzekome nowości.</w:t>
            </w:r>
          </w:p>
        </w:tc>
        <w:tc>
          <w:tcPr>
            <w:tcW w:w="933" w:type="pct"/>
            <w:tcBorders>
              <w:top w:val="nil"/>
              <w:left w:val="nil"/>
              <w:bottom w:val="single" w:sz="4" w:space="0" w:color="auto"/>
              <w:right w:val="single" w:sz="4" w:space="0" w:color="auto"/>
            </w:tcBorders>
            <w:vAlign w:val="center"/>
            <w:hideMark/>
          </w:tcPr>
          <w:p w14:paraId="756C2844" w14:textId="77777777" w:rsidR="00FB0724" w:rsidRPr="00151C08" w:rsidRDefault="00FB0724" w:rsidP="007F4C3E">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Wnioskodawca otrzyma:</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2 pkt</w:t>
            </w:r>
            <w:r w:rsidRPr="00151C08">
              <w:rPr>
                <w:rFonts w:eastAsia="Times New Roman" w:cstheme="minorHAnsi"/>
                <w:color w:val="000000"/>
                <w:sz w:val="20"/>
                <w:szCs w:val="20"/>
                <w:lang w:eastAsia="pl-PL"/>
              </w:rPr>
              <w:t xml:space="preserve"> - jeśli innowacja zostanie uznana za kreatywną</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1 pkt</w:t>
            </w:r>
            <w:r w:rsidRPr="00151C08">
              <w:rPr>
                <w:rFonts w:eastAsia="Times New Roman" w:cstheme="minorHAnsi"/>
                <w:color w:val="000000"/>
                <w:sz w:val="20"/>
                <w:szCs w:val="20"/>
                <w:lang w:eastAsia="pl-PL"/>
              </w:rPr>
              <w:t xml:space="preserve"> - jeśli innowacja zostanie uznana za imitującą</w:t>
            </w:r>
            <w:r w:rsidRPr="00151C08">
              <w:rPr>
                <w:rFonts w:eastAsia="Times New Roman" w:cstheme="minorHAnsi"/>
                <w:color w:val="000000"/>
                <w:sz w:val="20"/>
                <w:szCs w:val="20"/>
                <w:lang w:eastAsia="pl-PL"/>
              </w:rPr>
              <w:br/>
            </w:r>
            <w:r w:rsidRPr="00151C08">
              <w:rPr>
                <w:rFonts w:eastAsia="Times New Roman" w:cstheme="minorHAnsi"/>
                <w:b/>
                <w:bCs/>
                <w:color w:val="000000"/>
                <w:sz w:val="20"/>
                <w:szCs w:val="20"/>
                <w:lang w:eastAsia="pl-PL"/>
              </w:rPr>
              <w:t>0 pkt</w:t>
            </w:r>
            <w:r w:rsidRPr="00151C08">
              <w:rPr>
                <w:rFonts w:eastAsia="Times New Roman" w:cstheme="minorHAnsi"/>
                <w:color w:val="000000"/>
                <w:sz w:val="20"/>
                <w:szCs w:val="20"/>
                <w:lang w:eastAsia="pl-PL"/>
              </w:rPr>
              <w:t xml:space="preserve"> - jeśli  innowacja zostanie uznana za pozorną lub operacja nie zostanie </w:t>
            </w:r>
            <w:r w:rsidRPr="00151C08">
              <w:rPr>
                <w:rFonts w:eastAsia="Times New Roman" w:cstheme="minorHAnsi"/>
                <w:color w:val="000000"/>
                <w:sz w:val="20"/>
                <w:szCs w:val="20"/>
                <w:lang w:eastAsia="pl-PL"/>
              </w:rPr>
              <w:lastRenderedPageBreak/>
              <w:t>uznana za innowacyjną</w:t>
            </w:r>
          </w:p>
        </w:tc>
        <w:tc>
          <w:tcPr>
            <w:tcW w:w="933" w:type="pct"/>
            <w:tcBorders>
              <w:top w:val="nil"/>
              <w:left w:val="nil"/>
              <w:bottom w:val="single" w:sz="4" w:space="0" w:color="auto"/>
              <w:right w:val="single" w:sz="4" w:space="0" w:color="auto"/>
            </w:tcBorders>
            <w:vAlign w:val="center"/>
            <w:hideMark/>
          </w:tcPr>
          <w:p w14:paraId="5151B994" w14:textId="77777777" w:rsidR="00FB0724" w:rsidRPr="00151C08" w:rsidRDefault="00FB0724" w:rsidP="007F4C3E">
            <w:pPr>
              <w:rPr>
                <w:rFonts w:eastAsia="Times New Roman" w:cstheme="minorHAnsi"/>
                <w:color w:val="000000"/>
                <w:sz w:val="20"/>
                <w:szCs w:val="20"/>
                <w:lang w:eastAsia="pl-PL"/>
              </w:rPr>
            </w:pPr>
            <w:r w:rsidRPr="00151C08">
              <w:rPr>
                <w:rFonts w:eastAsia="Times New Roman" w:cstheme="minorHAnsi"/>
                <w:color w:val="000000"/>
                <w:sz w:val="20"/>
                <w:szCs w:val="20"/>
                <w:lang w:eastAsia="pl-PL"/>
              </w:rPr>
              <w:lastRenderedPageBreak/>
              <w:t>Weryfikowane na podstawie danych zawartych we wniosku o dofinansowanie i załącznikach do wniosku oraz przygotowanym przez LGD formularzu dotyczącym innowacyjności.</w:t>
            </w:r>
          </w:p>
        </w:tc>
      </w:tr>
      <w:tr w:rsidR="006542C3" w:rsidRPr="0047380A" w14:paraId="0A5C8628" w14:textId="77777777" w:rsidTr="006542C3">
        <w:trPr>
          <w:trHeight w:val="109"/>
        </w:trPr>
        <w:tc>
          <w:tcPr>
            <w:tcW w:w="146" w:type="pct"/>
            <w:tcBorders>
              <w:top w:val="nil"/>
              <w:left w:val="single" w:sz="4" w:space="0" w:color="auto"/>
              <w:bottom w:val="single" w:sz="4" w:space="0" w:color="auto"/>
              <w:right w:val="single" w:sz="4" w:space="0" w:color="auto"/>
            </w:tcBorders>
            <w:noWrap/>
            <w:vAlign w:val="center"/>
            <w:hideMark/>
          </w:tcPr>
          <w:p w14:paraId="7FD28071" w14:textId="6B688D7A" w:rsidR="006542C3" w:rsidRPr="006542C3" w:rsidRDefault="00683932" w:rsidP="007F4C3E">
            <w:pPr>
              <w:rPr>
                <w:rFonts w:eastAsia="Times New Roman" w:cstheme="minorHAnsi"/>
                <w:color w:val="000000"/>
                <w:sz w:val="20"/>
                <w:szCs w:val="20"/>
                <w:lang w:eastAsia="pl-PL"/>
              </w:rPr>
            </w:pPr>
            <w:r>
              <w:rPr>
                <w:rFonts w:eastAsia="Times New Roman" w:cstheme="minorHAnsi"/>
                <w:color w:val="000000"/>
                <w:sz w:val="20"/>
                <w:szCs w:val="20"/>
                <w:lang w:eastAsia="pl-PL"/>
              </w:rPr>
              <w:t>7</w:t>
            </w:r>
            <w:r w:rsidR="006542C3">
              <w:rPr>
                <w:rFonts w:eastAsia="Times New Roman" w:cstheme="minorHAnsi"/>
                <w:color w:val="000000"/>
                <w:sz w:val="20"/>
                <w:szCs w:val="20"/>
                <w:lang w:eastAsia="pl-PL"/>
              </w:rPr>
              <w:t>.</w:t>
            </w:r>
          </w:p>
        </w:tc>
        <w:tc>
          <w:tcPr>
            <w:tcW w:w="877" w:type="pct"/>
            <w:tcBorders>
              <w:top w:val="nil"/>
              <w:left w:val="nil"/>
              <w:bottom w:val="single" w:sz="4" w:space="0" w:color="auto"/>
              <w:right w:val="single" w:sz="4" w:space="0" w:color="auto"/>
            </w:tcBorders>
            <w:vAlign w:val="center"/>
            <w:hideMark/>
          </w:tcPr>
          <w:p w14:paraId="499674F3"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Oznaczenie LGD Sandry Brdy</w:t>
            </w:r>
          </w:p>
        </w:tc>
        <w:tc>
          <w:tcPr>
            <w:tcW w:w="2111" w:type="pct"/>
            <w:tcBorders>
              <w:top w:val="nil"/>
              <w:left w:val="nil"/>
              <w:bottom w:val="single" w:sz="4" w:space="0" w:color="auto"/>
              <w:right w:val="single" w:sz="4" w:space="0" w:color="auto"/>
            </w:tcBorders>
            <w:vAlign w:val="center"/>
            <w:hideMark/>
          </w:tcPr>
          <w:p w14:paraId="2C115888" w14:textId="77777777" w:rsidR="006542C3" w:rsidRPr="006542C3" w:rsidRDefault="006542C3" w:rsidP="006542C3">
            <w:pPr>
              <w:spacing w:after="0"/>
              <w:jc w:val="both"/>
              <w:rPr>
                <w:rFonts w:cstheme="minorHAnsi"/>
                <w:sz w:val="20"/>
                <w:szCs w:val="20"/>
              </w:rPr>
            </w:pPr>
            <w:r w:rsidRPr="006542C3">
              <w:rPr>
                <w:rFonts w:cstheme="minorHAnsi"/>
                <w:sz w:val="20"/>
                <w:szCs w:val="20"/>
              </w:rPr>
              <w:t>Kryterium premiuje operację, w przypadku której Wnioskodawca będzie informował o otrzymaniu wsparcia w ramach realizacji Lokalnej Strategii Rozwoju:</w:t>
            </w:r>
          </w:p>
          <w:p w14:paraId="307E3379" w14:textId="77777777" w:rsidR="006542C3" w:rsidRPr="006542C3" w:rsidRDefault="006542C3" w:rsidP="006542C3">
            <w:pPr>
              <w:spacing w:after="0"/>
              <w:jc w:val="both"/>
              <w:rPr>
                <w:rFonts w:cstheme="minorHAnsi"/>
                <w:sz w:val="20"/>
                <w:szCs w:val="20"/>
              </w:rPr>
            </w:pPr>
            <w:r w:rsidRPr="006542C3">
              <w:rPr>
                <w:rFonts w:cstheme="minorHAnsi"/>
                <w:sz w:val="20"/>
                <w:szCs w:val="20"/>
              </w:rPr>
              <w:t xml:space="preserve">- w formie elektronicznej co najmniej na stronie internetowej lub w mediach społecznościowych </w:t>
            </w:r>
          </w:p>
          <w:p w14:paraId="7489692B" w14:textId="77777777" w:rsidR="006542C3" w:rsidRPr="006542C3" w:rsidRDefault="006542C3" w:rsidP="006542C3">
            <w:pPr>
              <w:spacing w:after="0"/>
              <w:jc w:val="both"/>
              <w:rPr>
                <w:rFonts w:cstheme="minorHAnsi"/>
                <w:sz w:val="20"/>
                <w:szCs w:val="20"/>
              </w:rPr>
            </w:pPr>
            <w:r w:rsidRPr="006542C3">
              <w:rPr>
                <w:rFonts w:cstheme="minorHAnsi"/>
                <w:sz w:val="20"/>
                <w:szCs w:val="20"/>
              </w:rPr>
              <w:t>oraz</w:t>
            </w:r>
          </w:p>
          <w:p w14:paraId="56948A02" w14:textId="77777777" w:rsidR="006542C3" w:rsidRPr="006542C3" w:rsidRDefault="006542C3" w:rsidP="006542C3">
            <w:pPr>
              <w:spacing w:after="0"/>
              <w:jc w:val="both"/>
              <w:rPr>
                <w:rFonts w:cstheme="minorHAnsi"/>
                <w:sz w:val="20"/>
                <w:szCs w:val="20"/>
              </w:rPr>
            </w:pPr>
            <w:r w:rsidRPr="006542C3">
              <w:rPr>
                <w:rFonts w:cstheme="minorHAnsi"/>
                <w:sz w:val="20"/>
                <w:szCs w:val="20"/>
              </w:rPr>
              <w:t>- w formie fizycznej w miejscu realizacji operacji (jeśli jest ona trwale związana z nieruchomością) albo w siedzibie wnioskodawcy (w pozostałych przypadkach)</w:t>
            </w:r>
          </w:p>
          <w:p w14:paraId="1B7F6471" w14:textId="77777777" w:rsidR="006542C3" w:rsidRPr="006542C3" w:rsidRDefault="006542C3" w:rsidP="006542C3">
            <w:pPr>
              <w:spacing w:after="0"/>
              <w:jc w:val="both"/>
              <w:rPr>
                <w:rFonts w:cstheme="minorHAnsi"/>
                <w:sz w:val="20"/>
                <w:szCs w:val="20"/>
              </w:rPr>
            </w:pPr>
          </w:p>
          <w:p w14:paraId="013D043E" w14:textId="77777777" w:rsidR="006542C3" w:rsidRPr="006542C3" w:rsidRDefault="006542C3" w:rsidP="006542C3">
            <w:pPr>
              <w:spacing w:after="0"/>
              <w:jc w:val="both"/>
              <w:rPr>
                <w:rFonts w:cstheme="minorHAnsi"/>
                <w:sz w:val="20"/>
                <w:szCs w:val="20"/>
              </w:rPr>
            </w:pPr>
            <w:r w:rsidRPr="006542C3">
              <w:rPr>
                <w:rFonts w:cstheme="minorHAnsi"/>
                <w:sz w:val="20"/>
                <w:szCs w:val="20"/>
              </w:rPr>
              <w:t>Informowanie polega na nieprzerwanym eksponowaniu w okresie związania z celem w miejscu ogólnodostępnym logo LGD Sandry Brdy oraz informacji o następującej treści:</w:t>
            </w:r>
          </w:p>
          <w:p w14:paraId="1CD8730D" w14:textId="77777777" w:rsidR="006542C3" w:rsidRPr="006542C3" w:rsidRDefault="006542C3" w:rsidP="006542C3">
            <w:pPr>
              <w:spacing w:after="0"/>
              <w:jc w:val="both"/>
              <w:rPr>
                <w:rFonts w:cstheme="minorHAnsi"/>
                <w:sz w:val="20"/>
                <w:szCs w:val="20"/>
              </w:rPr>
            </w:pPr>
          </w:p>
          <w:p w14:paraId="36C279DD" w14:textId="77777777" w:rsidR="006542C3" w:rsidRPr="006542C3" w:rsidRDefault="006542C3" w:rsidP="006542C3">
            <w:pPr>
              <w:spacing w:after="0"/>
              <w:jc w:val="both"/>
              <w:rPr>
                <w:rFonts w:cstheme="minorHAnsi"/>
                <w:sz w:val="20"/>
                <w:szCs w:val="20"/>
              </w:rPr>
            </w:pPr>
            <w:r w:rsidRPr="006542C3">
              <w:rPr>
                <w:rFonts w:cstheme="minorHAnsi"/>
                <w:sz w:val="20"/>
                <w:szCs w:val="20"/>
              </w:rPr>
              <w:t>„</w:t>
            </w:r>
            <w:bookmarkStart w:id="0" w:name="_Hlk203988682"/>
            <w:r w:rsidRPr="006542C3">
              <w:rPr>
                <w:rFonts w:cstheme="minorHAnsi"/>
                <w:sz w:val="20"/>
                <w:szCs w:val="20"/>
              </w:rPr>
              <w:t>Operacja pod nazwą [wpisać nazwę operacji] otrzymała wsparcie w wysokości [podać kwotę wsparcia] w ramach Lokalnej Strategii Rozwoju na lata 2021-2027 dla obszaru objętego działalnością Lokalnej Grupy Działania Sandry Brdy.</w:t>
            </w:r>
            <w:bookmarkEnd w:id="0"/>
            <w:r w:rsidRPr="006542C3">
              <w:rPr>
                <w:rFonts w:cstheme="minorHAnsi"/>
                <w:sz w:val="20"/>
                <w:szCs w:val="20"/>
              </w:rPr>
              <w:t>”</w:t>
            </w:r>
          </w:p>
          <w:p w14:paraId="5DC9E4D8" w14:textId="77777777" w:rsidR="006542C3" w:rsidRPr="006542C3" w:rsidRDefault="006542C3" w:rsidP="006542C3">
            <w:pPr>
              <w:spacing w:after="0"/>
              <w:jc w:val="both"/>
              <w:rPr>
                <w:rFonts w:cstheme="minorHAnsi"/>
                <w:sz w:val="20"/>
                <w:szCs w:val="20"/>
              </w:rPr>
            </w:pPr>
          </w:p>
          <w:p w14:paraId="2BDD28D0" w14:textId="77777777" w:rsidR="006542C3" w:rsidRDefault="006542C3" w:rsidP="006542C3">
            <w:pPr>
              <w:spacing w:after="0"/>
              <w:jc w:val="both"/>
              <w:rPr>
                <w:rFonts w:cstheme="minorHAnsi"/>
                <w:sz w:val="20"/>
                <w:szCs w:val="20"/>
              </w:rPr>
            </w:pPr>
            <w:r w:rsidRPr="006542C3">
              <w:rPr>
                <w:rFonts w:cstheme="minorHAnsi"/>
                <w:sz w:val="20"/>
                <w:szCs w:val="20"/>
              </w:rPr>
              <w:t xml:space="preserve">Informacja w formie fizycznej ma postać napisu z wykorzystaniem czcionki Arial o wysokości znaku co najmniej 1cm lub większej na </w:t>
            </w:r>
            <w:r w:rsidRPr="006542C3">
              <w:rPr>
                <w:rFonts w:cstheme="minorHAnsi"/>
                <w:sz w:val="20"/>
                <w:szCs w:val="20"/>
              </w:rPr>
              <w:lastRenderedPageBreak/>
              <w:t>tablicy formatu A3 lub większej wraz z zamieszczeniem na niej logo LGD Sandry Brdy. Wysokość logo stanowi co najmniej ¼ wysokości tablicy. Należy zachować proporcje logo. Dopuszcza się możliwość zastosowania monochromatycznej wersji logo.</w:t>
            </w:r>
          </w:p>
          <w:p w14:paraId="0ED13EF3" w14:textId="77777777" w:rsidR="006542C3" w:rsidRDefault="006542C3" w:rsidP="006542C3">
            <w:pPr>
              <w:spacing w:after="0"/>
              <w:jc w:val="both"/>
              <w:rPr>
                <w:rFonts w:cstheme="minorHAnsi"/>
                <w:sz w:val="20"/>
                <w:szCs w:val="20"/>
              </w:rPr>
            </w:pPr>
          </w:p>
          <w:p w14:paraId="255D14A0" w14:textId="3C6C5D08" w:rsidR="006542C3" w:rsidRPr="006542C3" w:rsidRDefault="006542C3" w:rsidP="006542C3">
            <w:pPr>
              <w:spacing w:after="0"/>
              <w:jc w:val="both"/>
              <w:rPr>
                <w:rFonts w:cstheme="minorHAnsi"/>
                <w:sz w:val="20"/>
                <w:szCs w:val="20"/>
              </w:rPr>
            </w:pPr>
            <w:r w:rsidRPr="006542C3">
              <w:rPr>
                <w:rFonts w:cstheme="minorHAnsi"/>
                <w:sz w:val="20"/>
                <w:szCs w:val="20"/>
              </w:rPr>
              <w:t>WAŻNE: ww. koszty nie stanowią kosztów kwalifikowalnych operacji oraz nie stanowią spełnienia  obowiązków wynikających z Księgi Tożsamości Wizualnej marki Fundusze Europejskie 2021-2027 jak i warunków wynikających z zapisów umowy o przyznaniu pomocy.</w:t>
            </w:r>
          </w:p>
        </w:tc>
        <w:tc>
          <w:tcPr>
            <w:tcW w:w="933" w:type="pct"/>
            <w:tcBorders>
              <w:top w:val="nil"/>
              <w:left w:val="nil"/>
              <w:bottom w:val="single" w:sz="4" w:space="0" w:color="auto"/>
              <w:right w:val="single" w:sz="4" w:space="0" w:color="auto"/>
            </w:tcBorders>
            <w:vAlign w:val="center"/>
            <w:hideMark/>
          </w:tcPr>
          <w:p w14:paraId="7EED1603"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lastRenderedPageBreak/>
              <w:t>Wnioskodawca zadeklaruje przekazywanie informacji zgodnie z kryterium:</w:t>
            </w:r>
          </w:p>
          <w:p w14:paraId="687273C3"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 xml:space="preserve">Tak – </w:t>
            </w:r>
            <w:r w:rsidRPr="006542C3">
              <w:rPr>
                <w:rFonts w:eastAsia="Times New Roman" w:cstheme="minorHAnsi"/>
                <w:b/>
                <w:bCs/>
                <w:color w:val="000000"/>
                <w:sz w:val="20"/>
                <w:szCs w:val="20"/>
                <w:lang w:eastAsia="pl-PL"/>
              </w:rPr>
              <w:t>2 pkt</w:t>
            </w:r>
            <w:r w:rsidRPr="006542C3">
              <w:rPr>
                <w:rFonts w:eastAsia="Times New Roman" w:cstheme="minorHAnsi"/>
                <w:color w:val="000000"/>
                <w:sz w:val="20"/>
                <w:szCs w:val="20"/>
                <w:lang w:eastAsia="pl-PL"/>
              </w:rPr>
              <w:t xml:space="preserve"> </w:t>
            </w:r>
            <w:r w:rsidRPr="006542C3">
              <w:rPr>
                <w:rFonts w:eastAsia="Times New Roman" w:cstheme="minorHAnsi"/>
                <w:color w:val="000000"/>
                <w:sz w:val="20"/>
                <w:szCs w:val="20"/>
                <w:lang w:eastAsia="pl-PL"/>
              </w:rPr>
              <w:br/>
              <w:t xml:space="preserve">Nie – </w:t>
            </w:r>
            <w:r w:rsidRPr="006542C3">
              <w:rPr>
                <w:rFonts w:eastAsia="Times New Roman" w:cstheme="minorHAnsi"/>
                <w:b/>
                <w:bCs/>
                <w:color w:val="000000"/>
                <w:sz w:val="20"/>
                <w:szCs w:val="20"/>
                <w:lang w:eastAsia="pl-PL"/>
              </w:rPr>
              <w:t>0 pkt</w:t>
            </w:r>
          </w:p>
        </w:tc>
        <w:tc>
          <w:tcPr>
            <w:tcW w:w="933" w:type="pct"/>
            <w:tcBorders>
              <w:top w:val="nil"/>
              <w:left w:val="nil"/>
              <w:bottom w:val="single" w:sz="4" w:space="0" w:color="auto"/>
              <w:right w:val="single" w:sz="4" w:space="0" w:color="auto"/>
            </w:tcBorders>
            <w:vAlign w:val="center"/>
            <w:hideMark/>
          </w:tcPr>
          <w:p w14:paraId="09CFF7A7" w14:textId="77777777" w:rsidR="006542C3" w:rsidRPr="006542C3" w:rsidRDefault="006542C3" w:rsidP="007F4C3E">
            <w:pPr>
              <w:rPr>
                <w:rFonts w:eastAsia="Times New Roman" w:cstheme="minorHAnsi"/>
                <w:color w:val="000000"/>
                <w:sz w:val="20"/>
                <w:szCs w:val="20"/>
                <w:lang w:eastAsia="pl-PL"/>
              </w:rPr>
            </w:pPr>
            <w:r w:rsidRPr="006542C3">
              <w:rPr>
                <w:rFonts w:eastAsia="Times New Roman" w:cstheme="minorHAnsi"/>
                <w:color w:val="000000"/>
                <w:sz w:val="20"/>
                <w:szCs w:val="20"/>
                <w:lang w:eastAsia="pl-PL"/>
              </w:rPr>
              <w:t>Weryfikowane na podstawie danych zawartych we wniosku o dofinansowanie i załącznikach do wniosku</w:t>
            </w:r>
          </w:p>
        </w:tc>
      </w:tr>
    </w:tbl>
    <w:p w14:paraId="5155A0D2" w14:textId="3BA1C2C5" w:rsidR="003919B6" w:rsidRPr="00151C08" w:rsidRDefault="003919B6" w:rsidP="003919B6">
      <w:pPr>
        <w:rPr>
          <w:rFonts w:cstheme="minorHAnsi"/>
          <w:b/>
          <w:bCs/>
        </w:rPr>
      </w:pPr>
      <w:r w:rsidRPr="00151C08">
        <w:rPr>
          <w:rFonts w:cstheme="minorHAnsi"/>
          <w:b/>
          <w:bCs/>
        </w:rPr>
        <w:t xml:space="preserve">UWAGA : </w:t>
      </w:r>
    </w:p>
    <w:p w14:paraId="5D076A42" w14:textId="77777777" w:rsidR="003919B6" w:rsidRPr="00151C08" w:rsidRDefault="003919B6" w:rsidP="003919B6">
      <w:pPr>
        <w:rPr>
          <w:rFonts w:cstheme="minorHAnsi"/>
        </w:rPr>
      </w:pPr>
      <w:r w:rsidRPr="00151C08">
        <w:rPr>
          <w:rFonts w:cstheme="minorHAnsi"/>
        </w:rPr>
        <w:t>1. Członek Rady LGD, oceniając kryteria wg punktacji określonej w kolumnie „Punktacja”, każdorazowo przyznaje punkty całkowite. Nie dopuszcza się ocen cząstkowych (ułamkowych) np. ½, 1 ½ etc..</w:t>
      </w:r>
    </w:p>
    <w:p w14:paraId="00845B3E" w14:textId="77777777" w:rsidR="003919B6" w:rsidRPr="00151C08" w:rsidRDefault="003919B6" w:rsidP="003919B6">
      <w:pPr>
        <w:rPr>
          <w:rFonts w:cstheme="minorHAnsi"/>
        </w:rPr>
      </w:pPr>
      <w:r w:rsidRPr="00151C08">
        <w:rPr>
          <w:rFonts w:cstheme="minorHAnsi"/>
        </w:rPr>
        <w:t>2. Wnioskodawca (jeśli dotyczy) winien załączyć dokumenty wskazane w kolumnie „Opis” lub „Źródło weryfikacji”. Brak dokumentu powoduje przyznanie przez członka Rady LGD w danym kryterium 0 pkt.</w:t>
      </w:r>
    </w:p>
    <w:p w14:paraId="70AD1743" w14:textId="77777777" w:rsidR="003919B6" w:rsidRPr="00151C08" w:rsidRDefault="003919B6" w:rsidP="003919B6">
      <w:pPr>
        <w:rPr>
          <w:rFonts w:cstheme="minorHAnsi"/>
        </w:rPr>
      </w:pPr>
      <w:r w:rsidRPr="00151C08">
        <w:rPr>
          <w:rFonts w:cstheme="minorHAnsi"/>
        </w:rPr>
        <w:t>3. Warunkiem uzyskania pozytywnej oceny Rady LGD, a tym samym wyboru wnioskodawcy, jest:</w:t>
      </w:r>
    </w:p>
    <w:p w14:paraId="3B6258F5" w14:textId="77777777" w:rsidR="003919B6" w:rsidRPr="00151C08" w:rsidRDefault="003919B6" w:rsidP="003919B6">
      <w:pPr>
        <w:rPr>
          <w:rFonts w:cstheme="minorHAnsi"/>
        </w:rPr>
      </w:pPr>
      <w:r w:rsidRPr="00151C08">
        <w:rPr>
          <w:rFonts w:cstheme="minorHAnsi"/>
        </w:rPr>
        <w:t xml:space="preserve">a. uzyskanie pozytywnej oceny formalnej wniosku o udzielenie wsparcia oraz  pozytywnej oceny merytorycznej wniosku o przyznanie pomocy w zakresie spełnienia warunków  udzielenia wsparcia,    </w:t>
      </w:r>
    </w:p>
    <w:p w14:paraId="46FB7882" w14:textId="3C3FA015" w:rsidR="003919B6" w:rsidRPr="00151C08" w:rsidRDefault="003919B6" w:rsidP="003919B6">
      <w:pPr>
        <w:rPr>
          <w:rFonts w:cstheme="minorHAnsi"/>
        </w:rPr>
      </w:pPr>
      <w:r w:rsidRPr="00151C08">
        <w:rPr>
          <w:rFonts w:cstheme="minorHAnsi"/>
        </w:rPr>
        <w:t>b. uzyskanie następującego  minimum punktowego określonego dla przedsięwzięcia: P.3.2.</w:t>
      </w:r>
      <w:r w:rsidR="00683932">
        <w:rPr>
          <w:rFonts w:cstheme="minorHAnsi"/>
        </w:rPr>
        <w:t>1.</w:t>
      </w:r>
      <w:r w:rsidRPr="00151C08">
        <w:rPr>
          <w:rFonts w:cstheme="minorHAnsi"/>
        </w:rPr>
        <w:t xml:space="preserve"> Wsparcie mieszkańców w </w:t>
      </w:r>
      <w:r w:rsidR="00752931" w:rsidRPr="00752931">
        <w:rPr>
          <w:rFonts w:cstheme="minorHAnsi"/>
        </w:rPr>
        <w:t xml:space="preserve">przedsiębiorstw w rozwoju usług </w:t>
      </w:r>
      <w:r w:rsidRPr="00151C08">
        <w:rPr>
          <w:rFonts w:cstheme="minorHAnsi"/>
        </w:rPr>
        <w:t xml:space="preserve">– </w:t>
      </w:r>
      <w:r w:rsidR="004012E3">
        <w:rPr>
          <w:rFonts w:cstheme="minorHAnsi"/>
        </w:rPr>
        <w:t>5</w:t>
      </w:r>
      <w:r w:rsidRPr="00151C08">
        <w:rPr>
          <w:rFonts w:cstheme="minorHAnsi"/>
        </w:rPr>
        <w:t xml:space="preserve"> pkt. (maksymalne można uzyskać 1</w:t>
      </w:r>
      <w:r w:rsidR="004012E3">
        <w:rPr>
          <w:rFonts w:cstheme="minorHAnsi"/>
        </w:rPr>
        <w:t>3</w:t>
      </w:r>
      <w:r w:rsidRPr="00151C08">
        <w:rPr>
          <w:rFonts w:cstheme="minorHAnsi"/>
        </w:rPr>
        <w:t xml:space="preserve"> punktów).</w:t>
      </w:r>
    </w:p>
    <w:p w14:paraId="384AF456" w14:textId="77777777" w:rsidR="003919B6" w:rsidRPr="00151C08" w:rsidRDefault="003919B6" w:rsidP="003919B6">
      <w:pPr>
        <w:rPr>
          <w:rFonts w:cstheme="minorHAnsi"/>
        </w:rPr>
      </w:pPr>
      <w:r w:rsidRPr="00151C08">
        <w:rPr>
          <w:rFonts w:cstheme="minorHAnsi"/>
        </w:rPr>
        <w:t>4. W przypadku równej liczby punktów o miejscu na liście wybranych wnioskodawców zdecyduje:</w:t>
      </w:r>
    </w:p>
    <w:p w14:paraId="2E8C4A4E" w14:textId="1EF03960" w:rsidR="003919B6" w:rsidRPr="00151C08" w:rsidRDefault="003919B6" w:rsidP="003919B6">
      <w:pPr>
        <w:rPr>
          <w:rFonts w:cstheme="minorHAnsi"/>
        </w:rPr>
      </w:pPr>
      <w:r w:rsidRPr="00151C08">
        <w:rPr>
          <w:rFonts w:cstheme="minorHAnsi"/>
        </w:rPr>
        <w:t xml:space="preserve">a. w pierwszej kolejności  kryterium nr </w:t>
      </w:r>
      <w:r w:rsidR="004012E3">
        <w:rPr>
          <w:rFonts w:cstheme="minorHAnsi"/>
        </w:rPr>
        <w:t>6</w:t>
      </w:r>
      <w:r w:rsidRPr="00151C08">
        <w:rPr>
          <w:rFonts w:cstheme="minorHAnsi"/>
        </w:rPr>
        <w:t xml:space="preserve"> „</w:t>
      </w:r>
      <w:r w:rsidR="004012E3">
        <w:rPr>
          <w:rFonts w:cstheme="minorHAnsi"/>
        </w:rPr>
        <w:t>Innowacyjność operacji</w:t>
      </w:r>
      <w:r w:rsidRPr="00151C08">
        <w:rPr>
          <w:rFonts w:cstheme="minorHAnsi"/>
        </w:rPr>
        <w:t>”</w:t>
      </w:r>
    </w:p>
    <w:p w14:paraId="5D549BFC" w14:textId="2FADDA70" w:rsidR="008903B8" w:rsidRPr="00151C08" w:rsidRDefault="003919B6" w:rsidP="004025D1">
      <w:pPr>
        <w:rPr>
          <w:rFonts w:cstheme="minorHAnsi"/>
          <w:b/>
          <w:bCs/>
          <w:sz w:val="72"/>
          <w:szCs w:val="72"/>
        </w:rPr>
      </w:pPr>
      <w:r w:rsidRPr="00151C08">
        <w:rPr>
          <w:rFonts w:cstheme="minorHAnsi"/>
        </w:rPr>
        <w:t>b. w drugiej kolejności – decyduje data i godzina złożenia wniosku w miejscu wskazanym w ogłoszeniu o naborze.</w:t>
      </w:r>
    </w:p>
    <w:sectPr w:rsidR="008903B8" w:rsidRPr="00151C08" w:rsidSect="003919B6">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A903" w14:textId="77777777" w:rsidR="00562FDB" w:rsidRDefault="00562FDB" w:rsidP="00002B81">
      <w:pPr>
        <w:spacing w:after="0" w:line="240" w:lineRule="auto"/>
      </w:pPr>
      <w:r>
        <w:separator/>
      </w:r>
    </w:p>
  </w:endnote>
  <w:endnote w:type="continuationSeparator" w:id="0">
    <w:p w14:paraId="4E406893" w14:textId="77777777" w:rsidR="00562FDB" w:rsidRDefault="00562FDB" w:rsidP="0000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841F" w14:textId="77777777" w:rsidR="00562FDB" w:rsidRDefault="00562FDB" w:rsidP="00002B81">
      <w:pPr>
        <w:spacing w:after="0" w:line="240" w:lineRule="auto"/>
      </w:pPr>
      <w:r>
        <w:separator/>
      </w:r>
    </w:p>
  </w:footnote>
  <w:footnote w:type="continuationSeparator" w:id="0">
    <w:p w14:paraId="39236847" w14:textId="77777777" w:rsidR="00562FDB" w:rsidRDefault="00562FDB" w:rsidP="0000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8899" w14:textId="7752D359" w:rsidR="000A3E59" w:rsidRDefault="00F47CEF" w:rsidP="00F47CEF">
    <w:pPr>
      <w:pStyle w:val="Nagwek"/>
      <w:jc w:val="center"/>
    </w:pPr>
    <w:r>
      <w:rPr>
        <w:noProof/>
      </w:rPr>
      <w:drawing>
        <wp:inline distT="0" distB="0" distL="0" distR="0" wp14:anchorId="3F830015" wp14:editId="1FA6FE1F">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689C0017"/>
    <w:multiLevelType w:val="hybridMultilevel"/>
    <w:tmpl w:val="9E3005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5644723">
    <w:abstractNumId w:val="2"/>
  </w:num>
  <w:num w:numId="2" w16cid:durableId="1738092072">
    <w:abstractNumId w:val="0"/>
  </w:num>
  <w:num w:numId="3" w16cid:durableId="15785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DDA"/>
    <w:rsid w:val="00002B81"/>
    <w:rsid w:val="00020133"/>
    <w:rsid w:val="00097985"/>
    <w:rsid w:val="000A3E59"/>
    <w:rsid w:val="00104BE7"/>
    <w:rsid w:val="001370EE"/>
    <w:rsid w:val="00151C08"/>
    <w:rsid w:val="001803B3"/>
    <w:rsid w:val="001D1520"/>
    <w:rsid w:val="0021316F"/>
    <w:rsid w:val="002338C2"/>
    <w:rsid w:val="00252E67"/>
    <w:rsid w:val="002774A1"/>
    <w:rsid w:val="002E6CDB"/>
    <w:rsid w:val="00327C6A"/>
    <w:rsid w:val="003334F8"/>
    <w:rsid w:val="00333CEC"/>
    <w:rsid w:val="00387534"/>
    <w:rsid w:val="003919B6"/>
    <w:rsid w:val="003A1C51"/>
    <w:rsid w:val="003C3A81"/>
    <w:rsid w:val="004012E3"/>
    <w:rsid w:val="0040176A"/>
    <w:rsid w:val="004022B9"/>
    <w:rsid w:val="004025D1"/>
    <w:rsid w:val="00430B51"/>
    <w:rsid w:val="0044210E"/>
    <w:rsid w:val="00445336"/>
    <w:rsid w:val="00460A0A"/>
    <w:rsid w:val="0047380A"/>
    <w:rsid w:val="004E1A14"/>
    <w:rsid w:val="005614A2"/>
    <w:rsid w:val="00562FDB"/>
    <w:rsid w:val="005700EC"/>
    <w:rsid w:val="005741A8"/>
    <w:rsid w:val="00575E5E"/>
    <w:rsid w:val="00595324"/>
    <w:rsid w:val="005B53CD"/>
    <w:rsid w:val="00603757"/>
    <w:rsid w:val="006424C8"/>
    <w:rsid w:val="006542C3"/>
    <w:rsid w:val="00683932"/>
    <w:rsid w:val="006E0D49"/>
    <w:rsid w:val="006E4319"/>
    <w:rsid w:val="00752931"/>
    <w:rsid w:val="00760564"/>
    <w:rsid w:val="00790157"/>
    <w:rsid w:val="00821577"/>
    <w:rsid w:val="008606E8"/>
    <w:rsid w:val="008903B8"/>
    <w:rsid w:val="008D01B0"/>
    <w:rsid w:val="008D7C3E"/>
    <w:rsid w:val="008F6434"/>
    <w:rsid w:val="00A47473"/>
    <w:rsid w:val="00A860AF"/>
    <w:rsid w:val="00A90F98"/>
    <w:rsid w:val="00AD6642"/>
    <w:rsid w:val="00B73DD3"/>
    <w:rsid w:val="00BA16C2"/>
    <w:rsid w:val="00BC012B"/>
    <w:rsid w:val="00BD6F3A"/>
    <w:rsid w:val="00BD7552"/>
    <w:rsid w:val="00C61A8A"/>
    <w:rsid w:val="00CA02B3"/>
    <w:rsid w:val="00CC30DC"/>
    <w:rsid w:val="00CD4477"/>
    <w:rsid w:val="00D474BB"/>
    <w:rsid w:val="00D50032"/>
    <w:rsid w:val="00D871AC"/>
    <w:rsid w:val="00DF0FE9"/>
    <w:rsid w:val="00E257D6"/>
    <w:rsid w:val="00E32D71"/>
    <w:rsid w:val="00E37978"/>
    <w:rsid w:val="00EE3E08"/>
    <w:rsid w:val="00F042F2"/>
    <w:rsid w:val="00F1065C"/>
    <w:rsid w:val="00F10DDA"/>
    <w:rsid w:val="00F15626"/>
    <w:rsid w:val="00F31993"/>
    <w:rsid w:val="00F47CEF"/>
    <w:rsid w:val="00F5735C"/>
    <w:rsid w:val="00F83D83"/>
    <w:rsid w:val="00F84BFC"/>
    <w:rsid w:val="00FA156E"/>
    <w:rsid w:val="00FB0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FA88"/>
  <w15:docId w15:val="{3BCEE2EB-40D5-4817-A091-2BBE5198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2B81"/>
    <w:pPr>
      <w:keepNext/>
      <w:keepLines/>
      <w:spacing w:before="240" w:after="0" w:line="259" w:lineRule="auto"/>
      <w:outlineLvl w:val="0"/>
    </w:pPr>
    <w:rPr>
      <w:rFonts w:ascii="Times New Roman" w:eastAsiaTheme="majorEastAsia" w:hAnsi="Times New Roman" w:cstheme="majorBidi"/>
      <w:b/>
      <w:color w:val="E36C0A" w:themeColor="accent6" w:themeShade="BF"/>
      <w:kern w:val="2"/>
      <w:sz w:val="28"/>
      <w:szCs w:val="32"/>
      <w14:ligatures w14:val="standardContextual"/>
    </w:rPr>
  </w:style>
  <w:style w:type="paragraph" w:styleId="Nagwek2">
    <w:name w:val="heading 2"/>
    <w:basedOn w:val="Normalny"/>
    <w:next w:val="Normalny"/>
    <w:link w:val="Nagwek2Znak"/>
    <w:uiPriority w:val="9"/>
    <w:unhideWhenUsed/>
    <w:qFormat/>
    <w:rsid w:val="00002B81"/>
    <w:pPr>
      <w:keepNext/>
      <w:spacing w:before="240" w:after="60"/>
      <w:outlineLvl w:val="1"/>
    </w:pPr>
    <w:rPr>
      <w:rFonts w:ascii="Cambria" w:eastAsia="Times New Roman" w:hAnsi="Cambria" w:cs="Times New Roman"/>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F31993"/>
    <w:pPr>
      <w:spacing w:after="0" w:line="240" w:lineRule="auto"/>
    </w:pPr>
  </w:style>
  <w:style w:type="paragraph" w:styleId="Nagwek">
    <w:name w:val="header"/>
    <w:basedOn w:val="Normalny"/>
    <w:link w:val="NagwekZnak1"/>
    <w:uiPriority w:val="99"/>
    <w:unhideWhenUsed/>
    <w:rsid w:val="00AD6642"/>
    <w:pPr>
      <w:tabs>
        <w:tab w:val="center" w:pos="4536"/>
        <w:tab w:val="right" w:pos="9072"/>
      </w:tabs>
      <w:suppressAutoHyphens/>
    </w:pPr>
    <w:rPr>
      <w:rFonts w:ascii="Calibri" w:eastAsia="Times New Roman" w:hAnsi="Calibri" w:cs="Calibri"/>
      <w:lang w:bidi="en-US"/>
    </w:rPr>
  </w:style>
  <w:style w:type="character" w:customStyle="1" w:styleId="NagwekZnak">
    <w:name w:val="Nagłówek Znak"/>
    <w:basedOn w:val="Domylnaczcionkaakapitu"/>
    <w:uiPriority w:val="99"/>
    <w:rsid w:val="00AD6642"/>
  </w:style>
  <w:style w:type="character" w:customStyle="1" w:styleId="NagwekZnak1">
    <w:name w:val="Nagłówek Znak1"/>
    <w:basedOn w:val="Domylnaczcionkaakapitu"/>
    <w:link w:val="Nagwek"/>
    <w:uiPriority w:val="99"/>
    <w:locked/>
    <w:rsid w:val="00AD6642"/>
    <w:rPr>
      <w:rFonts w:ascii="Calibri" w:eastAsia="Times New Roman" w:hAnsi="Calibri" w:cs="Calibri"/>
      <w:lang w:bidi="en-US"/>
    </w:rPr>
  </w:style>
  <w:style w:type="character" w:customStyle="1" w:styleId="Nagwek1Znak">
    <w:name w:val="Nagłówek 1 Znak"/>
    <w:basedOn w:val="Domylnaczcionkaakapitu"/>
    <w:link w:val="Nagwek1"/>
    <w:uiPriority w:val="9"/>
    <w:rsid w:val="00002B81"/>
    <w:rPr>
      <w:rFonts w:ascii="Times New Roman" w:eastAsiaTheme="majorEastAsia" w:hAnsi="Times New Roman" w:cstheme="majorBidi"/>
      <w:b/>
      <w:color w:val="E36C0A" w:themeColor="accent6" w:themeShade="BF"/>
      <w:kern w:val="2"/>
      <w:sz w:val="28"/>
      <w:szCs w:val="32"/>
      <w14:ligatures w14:val="standardContextual"/>
    </w:rPr>
  </w:style>
  <w:style w:type="character" w:customStyle="1" w:styleId="Nagwek2Znak">
    <w:name w:val="Nagłówek 2 Znak"/>
    <w:basedOn w:val="Domylnaczcionkaakapitu"/>
    <w:link w:val="Nagwek2"/>
    <w:uiPriority w:val="9"/>
    <w:rsid w:val="00002B81"/>
    <w:rPr>
      <w:rFonts w:ascii="Cambria" w:eastAsia="Times New Roman" w:hAnsi="Cambria" w:cs="Times New Roman"/>
      <w:b/>
      <w:bCs/>
      <w:i/>
      <w:iCs/>
      <w:sz w:val="28"/>
      <w:szCs w:val="28"/>
      <w:lang w:val="x-non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02B81"/>
    <w:pPr>
      <w:spacing w:after="160" w:line="259" w:lineRule="auto"/>
      <w:ind w:left="720"/>
      <w:contextualSpacing/>
    </w:pPr>
    <w:rPr>
      <w:kern w:val="2"/>
      <w14:ligatures w14:val="standardContextual"/>
    </w:rPr>
  </w:style>
  <w:style w:type="table" w:styleId="Tabela-Siatka">
    <w:name w:val="Table Grid"/>
    <w:basedOn w:val="Standardowy"/>
    <w:uiPriority w:val="39"/>
    <w:rsid w:val="00002B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02B81"/>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002B81"/>
    <w:rPr>
      <w:kern w:val="2"/>
      <w:sz w:val="20"/>
      <w:szCs w:val="20"/>
      <w14:ligatures w14:val="standardContextual"/>
    </w:rPr>
  </w:style>
  <w:style w:type="character" w:styleId="Odwoanieprzypisukocowego">
    <w:name w:val="endnote reference"/>
    <w:basedOn w:val="Domylnaczcionkaakapitu"/>
    <w:uiPriority w:val="99"/>
    <w:semiHidden/>
    <w:unhideWhenUsed/>
    <w:rsid w:val="00002B81"/>
    <w:rPr>
      <w:vertAlign w:val="superscript"/>
    </w:rPr>
  </w:style>
  <w:style w:type="paragraph" w:styleId="Tekstprzypisudolnego">
    <w:name w:val="footnote text"/>
    <w:basedOn w:val="Normalny"/>
    <w:link w:val="TekstprzypisudolnegoZnak"/>
    <w:uiPriority w:val="99"/>
    <w:semiHidden/>
    <w:unhideWhenUsed/>
    <w:rsid w:val="00002B81"/>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002B81"/>
    <w:rPr>
      <w:kern w:val="2"/>
      <w:sz w:val="20"/>
      <w:szCs w:val="20"/>
      <w14:ligatures w14:val="standardContextual"/>
    </w:rPr>
  </w:style>
  <w:style w:type="character" w:styleId="Odwoanieprzypisudolnego">
    <w:name w:val="footnote reference"/>
    <w:basedOn w:val="Domylnaczcionkaakapitu"/>
    <w:uiPriority w:val="99"/>
    <w:semiHidden/>
    <w:unhideWhenUsed/>
    <w:rsid w:val="00002B81"/>
    <w:rPr>
      <w:vertAlign w:val="superscript"/>
    </w:rPr>
  </w:style>
  <w:style w:type="character" w:styleId="Odwoaniedokomentarza">
    <w:name w:val="annotation reference"/>
    <w:basedOn w:val="Domylnaczcionkaakapitu"/>
    <w:uiPriority w:val="99"/>
    <w:semiHidden/>
    <w:unhideWhenUsed/>
    <w:rsid w:val="00002B81"/>
    <w:rPr>
      <w:sz w:val="16"/>
      <w:szCs w:val="16"/>
    </w:rPr>
  </w:style>
  <w:style w:type="paragraph" w:styleId="Tekstkomentarza">
    <w:name w:val="annotation text"/>
    <w:basedOn w:val="Normalny"/>
    <w:link w:val="TekstkomentarzaZnak"/>
    <w:uiPriority w:val="99"/>
    <w:unhideWhenUsed/>
    <w:rsid w:val="00002B81"/>
    <w:pPr>
      <w:spacing w:after="160"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002B81"/>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002B81"/>
    <w:rPr>
      <w:b/>
      <w:bCs/>
    </w:rPr>
  </w:style>
  <w:style w:type="character" w:customStyle="1" w:styleId="TematkomentarzaZnak">
    <w:name w:val="Temat komentarza Znak"/>
    <w:basedOn w:val="TekstkomentarzaZnak"/>
    <w:link w:val="Tematkomentarza"/>
    <w:uiPriority w:val="99"/>
    <w:semiHidden/>
    <w:rsid w:val="00002B81"/>
    <w:rPr>
      <w:b/>
      <w:bCs/>
      <w:kern w:val="2"/>
      <w:sz w:val="20"/>
      <w:szCs w:val="20"/>
      <w14:ligatures w14:val="standardContextual"/>
    </w:rPr>
  </w:style>
  <w:style w:type="character" w:styleId="Hipercze">
    <w:name w:val="Hyperlink"/>
    <w:basedOn w:val="Domylnaczcionkaakapitu"/>
    <w:uiPriority w:val="99"/>
    <w:unhideWhenUsed/>
    <w:rsid w:val="00002B81"/>
    <w:rPr>
      <w:color w:val="0000FF" w:themeColor="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002B81"/>
    <w:rPr>
      <w:kern w:val="2"/>
      <w14:ligatures w14:val="standardContextual"/>
    </w:rPr>
  </w:style>
  <w:style w:type="character" w:customStyle="1" w:styleId="TekstkomentarzaZnak1">
    <w:name w:val="Tekst komentarza Znak1"/>
    <w:basedOn w:val="Domylnaczcionkaakapitu"/>
    <w:uiPriority w:val="99"/>
    <w:locked/>
    <w:rsid w:val="00002B81"/>
    <w:rPr>
      <w:rFonts w:ascii="Calibri" w:eastAsia="Times New Roman" w:hAnsi="Calibri" w:cs="Calibri"/>
      <w:kern w:val="0"/>
      <w:sz w:val="20"/>
      <w:szCs w:val="20"/>
      <w:lang w:bidi="en-US"/>
      <w14:ligatures w14:val="none"/>
    </w:rPr>
  </w:style>
  <w:style w:type="paragraph" w:styleId="Stopka">
    <w:name w:val="footer"/>
    <w:basedOn w:val="Normalny"/>
    <w:link w:val="StopkaZnak"/>
    <w:uiPriority w:val="99"/>
    <w:unhideWhenUsed/>
    <w:rsid w:val="00002B81"/>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002B81"/>
    <w:rPr>
      <w:kern w:val="2"/>
      <w14:ligatures w14:val="standardContextual"/>
    </w:rPr>
  </w:style>
  <w:style w:type="character" w:customStyle="1" w:styleId="cf01">
    <w:name w:val="cf01"/>
    <w:basedOn w:val="Domylnaczcionkaakapitu"/>
    <w:rsid w:val="00002B81"/>
    <w:rPr>
      <w:rFonts w:ascii="Segoe UI" w:hAnsi="Segoe UI" w:cs="Segoe UI" w:hint="default"/>
      <w:sz w:val="18"/>
      <w:szCs w:val="18"/>
    </w:rPr>
  </w:style>
  <w:style w:type="paragraph" w:customStyle="1" w:styleId="Default">
    <w:name w:val="Default"/>
    <w:rsid w:val="00002B81"/>
    <w:pPr>
      <w:autoSpaceDE w:val="0"/>
      <w:autoSpaceDN w:val="0"/>
      <w:adjustRightInd w:val="0"/>
      <w:spacing w:after="0" w:line="240" w:lineRule="auto"/>
    </w:pPr>
    <w:rPr>
      <w:rFonts w:ascii="EUAlbertina" w:hAnsi="EUAlbertina" w:cs="EUAlbertina"/>
      <w:color w:val="000000"/>
      <w:sz w:val="24"/>
      <w:szCs w:val="24"/>
      <w14:ligatures w14:val="standardContextual"/>
    </w:rPr>
  </w:style>
  <w:style w:type="paragraph" w:customStyle="1" w:styleId="pf0">
    <w:name w:val="pf0"/>
    <w:basedOn w:val="Normalny"/>
    <w:rsid w:val="00002B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002B81"/>
    <w:pPr>
      <w:outlineLvl w:val="9"/>
    </w:pPr>
    <w:rPr>
      <w:rFonts w:asciiTheme="majorHAnsi" w:hAnsiTheme="majorHAnsi"/>
      <w:b w:val="0"/>
      <w:color w:val="365F91" w:themeColor="accent1" w:themeShade="BF"/>
      <w:kern w:val="0"/>
      <w:sz w:val="32"/>
      <w:lang w:eastAsia="pl-PL"/>
      <w14:ligatures w14:val="none"/>
    </w:rPr>
  </w:style>
  <w:style w:type="paragraph" w:styleId="Spistreci1">
    <w:name w:val="toc 1"/>
    <w:basedOn w:val="Normalny"/>
    <w:next w:val="Normalny"/>
    <w:autoRedefine/>
    <w:uiPriority w:val="39"/>
    <w:unhideWhenUsed/>
    <w:rsid w:val="00002B81"/>
    <w:pPr>
      <w:spacing w:after="100" w:line="259" w:lineRule="auto"/>
    </w:pPr>
    <w:rPr>
      <w:kern w:val="2"/>
      <w14:ligatures w14:val="standardContextual"/>
    </w:rPr>
  </w:style>
  <w:style w:type="paragraph" w:customStyle="1" w:styleId="Zawartotabeli">
    <w:name w:val="Zawartość tabeli"/>
    <w:basedOn w:val="Normalny"/>
    <w:qFormat/>
    <w:rsid w:val="00002B81"/>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 w:type="paragraph" w:styleId="Tekstdymka">
    <w:name w:val="Balloon Text"/>
    <w:basedOn w:val="Normalny"/>
    <w:link w:val="TekstdymkaZnak"/>
    <w:uiPriority w:val="99"/>
    <w:semiHidden/>
    <w:unhideWhenUsed/>
    <w:rsid w:val="002131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3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1848-99D2-43D9-9CCD-877EC449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1480</Words>
  <Characters>8885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Matthes</dc:creator>
  <cp:lastModifiedBy>Sandry Brdy</cp:lastModifiedBy>
  <cp:revision>20</cp:revision>
  <cp:lastPrinted>2025-07-30T05:51:00Z</cp:lastPrinted>
  <dcterms:created xsi:type="dcterms:W3CDTF">2025-01-23T11:51:00Z</dcterms:created>
  <dcterms:modified xsi:type="dcterms:W3CDTF">2025-12-17T10:38:00Z</dcterms:modified>
</cp:coreProperties>
</file>